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F32" w:rsidRPr="003D3F32" w:rsidRDefault="003D3F32" w:rsidP="00D94F0E">
      <w:pPr>
        <w:jc w:val="center"/>
        <w:rPr>
          <w:b/>
          <w:color w:val="000000" w:themeColor="text1"/>
          <w:lang w:val="pt-BR"/>
        </w:rPr>
      </w:pPr>
      <w:r>
        <w:rPr>
          <w:b/>
          <w:color w:val="000000" w:themeColor="text1"/>
          <w:lang w:val="pt-BR"/>
        </w:rPr>
        <w:t>EFEITO DA GLIBENCLAMIDA SOBRE A NEUROINFLAMAÇÃO E ALTERAÇÕES COMPORTAMENTAIS INDUZIDAS PELO ESTRESSE CRÔNICO IMPREVISÍVEL EM CAMUNDONGOS FÊMEA</w:t>
      </w:r>
    </w:p>
    <w:p w:rsidR="009E3676" w:rsidRPr="003D3F32" w:rsidRDefault="009E3676" w:rsidP="009E3676">
      <w:pPr>
        <w:jc w:val="both"/>
        <w:rPr>
          <w:b/>
          <w:lang w:val="pt-BR"/>
        </w:rPr>
      </w:pPr>
    </w:p>
    <w:p w:rsidR="002A494D" w:rsidRPr="003D3F32" w:rsidRDefault="002A494D" w:rsidP="009E3676">
      <w:pPr>
        <w:jc w:val="both"/>
        <w:rPr>
          <w:color w:val="000000" w:themeColor="text1"/>
          <w:lang w:val="pt-BR"/>
        </w:rPr>
      </w:pPr>
      <w:bookmarkStart w:id="0" w:name="_GoBack"/>
      <w:bookmarkEnd w:id="0"/>
    </w:p>
    <w:p w:rsidR="002A494D" w:rsidRPr="002A494D" w:rsidRDefault="002A494D" w:rsidP="002A494D">
      <w:pPr>
        <w:jc w:val="right"/>
        <w:rPr>
          <w:color w:val="000000" w:themeColor="text1"/>
          <w:lang w:val="pt-BR"/>
        </w:rPr>
      </w:pPr>
      <w:r w:rsidRPr="002A494D">
        <w:rPr>
          <w:color w:val="000000" w:themeColor="text1"/>
          <w:lang w:val="pt-BR"/>
        </w:rPr>
        <w:t>Axel Fogaça Rosado¹</w:t>
      </w:r>
    </w:p>
    <w:p w:rsidR="002A494D" w:rsidRPr="002A494D" w:rsidRDefault="002A494D" w:rsidP="002A494D">
      <w:pPr>
        <w:jc w:val="right"/>
        <w:rPr>
          <w:color w:val="000000" w:themeColor="text1"/>
          <w:lang w:val="pt-BR"/>
        </w:rPr>
      </w:pPr>
      <w:r w:rsidRPr="002A494D">
        <w:rPr>
          <w:color w:val="000000" w:themeColor="text1"/>
          <w:lang w:val="pt-BR"/>
        </w:rPr>
        <w:t>Fernanda Neutzling Kauf</w:t>
      </w:r>
      <w:r>
        <w:rPr>
          <w:color w:val="000000" w:themeColor="text1"/>
          <w:lang w:val="pt-BR"/>
        </w:rPr>
        <w:t>mann³, Priscila Batista da Rosa², Vivian Binder Neis², Ana Lúcia Severo Rodrigues², Manuella Pinto Kaster²</w:t>
      </w:r>
    </w:p>
    <w:p w:rsidR="009E3676" w:rsidRPr="002A494D" w:rsidRDefault="009E3676" w:rsidP="009E3676">
      <w:pPr>
        <w:jc w:val="both"/>
        <w:rPr>
          <w:b/>
          <w:lang w:val="pt-BR"/>
        </w:rPr>
      </w:pPr>
    </w:p>
    <w:p w:rsidR="003E3411" w:rsidRPr="009E3676" w:rsidRDefault="003E3411" w:rsidP="009E3676">
      <w:pPr>
        <w:jc w:val="both"/>
        <w:rPr>
          <w:lang w:val="pt-BR"/>
        </w:rPr>
      </w:pPr>
      <w:r w:rsidRPr="009E3676">
        <w:rPr>
          <w:lang w:val="pt-BR"/>
        </w:rPr>
        <w:t>O transtorno depressivo maior (TDM) é uma condição psiquiátrica recorrente e debilitante, com uma maior prevalência em mulheres do que em homens. Estudos demonstram que o estresse crônico, considerado o principal fator de risco ambiental para o TDM, pode promover alterações neuroquímicas e imunológicas, desencadeando um aumento no perfil inflamatório em pacientes com TDM e em modelos animais de depressão. Neste contexto, o controle de respostas inflamatórias no sistema nervoso central (SNC) pode representar um importante mecanismo associado aos efeitos do estresse e vulnerabilidade ao TDM. O inflamassoma NLRP3 é um complexo proteico citosólico responsável por maturar as citocinas pró-inflamatórias interleucina (IL)-1</w:t>
      </w:r>
      <w:r w:rsidRPr="009E3676">
        <w:t>β</w:t>
      </w:r>
      <w:r w:rsidRPr="009E3676">
        <w:rPr>
          <w:lang w:val="pt-BR"/>
        </w:rPr>
        <w:t xml:space="preserve"> e IL-18 em suas formas ativas, que são posteriormente secretadas. Em pacientes com TDM, estudos têm demonstrado aumento na expressão de NLRP3 em células imunes periféricas. Além disso, modelos em roedores sugerem que o estresse é capaz de ativar a via do inflamassoma NLRP3 em áreas encefálicas que regulam o humor, como o hipocampo e o córtex pré-frontal. Nosso objetivo foi avaliar o papel da via do inflamassoma NLRP3 na regulação do humor e seu potencial como alvo terapêutico em situações de estresse crônico e depressão. Para tal, camundongos </w:t>
      </w:r>
      <w:r w:rsidRPr="009E3676">
        <w:rPr>
          <w:i/>
          <w:lang w:val="pt-BR"/>
        </w:rPr>
        <w:t>Swiss</w:t>
      </w:r>
      <w:r w:rsidRPr="009E3676">
        <w:rPr>
          <w:lang w:val="pt-BR"/>
        </w:rPr>
        <w:t xml:space="preserve"> fêmeas (45 dias de idade) foram </w:t>
      </w:r>
      <w:proofErr w:type="gramStart"/>
      <w:r w:rsidRPr="009E3676">
        <w:rPr>
          <w:lang w:val="pt-BR"/>
        </w:rPr>
        <w:t>submetidos</w:t>
      </w:r>
      <w:proofErr w:type="gramEnd"/>
      <w:r w:rsidRPr="009E3676">
        <w:rPr>
          <w:lang w:val="pt-BR"/>
        </w:rPr>
        <w:t xml:space="preserve"> ao protocolo de estresse crônico imprevisível (ECI) por 21 dias, para induzir um comportamento tipo-depressivo. Os animais foram tratados durante todo o protocolo de ECI com glibenclamida (5 mg/kg, p.o.), um inibidor de canais de potássio Sur1-Kir6.2 e Sur1-Trpm4 que reduz a ativação do inflamassoma NLRP3. O ECI induziu um comportamento tipo-depressivo, avaliado pelo teste de suspensão pela cauda e teste do nado forçado, e também um prejuízo na memória espacial de curto prazo, avaliada através do teste de reconhecimento de objeto. Além disso, no córtex pré-frontal, o ECI induziu um aumento nos receptores de glicocorticoides, mensurados por Western Blot, juntamente com um aumento nos níveis de IL-1</w:t>
      </w:r>
      <w:r w:rsidRPr="009E3676">
        <w:t>β</w:t>
      </w:r>
      <w:r w:rsidRPr="009E3676">
        <w:rPr>
          <w:lang w:val="pt-BR"/>
        </w:rPr>
        <w:t>, avaliados por ELISA. Do ponto de vista comportamental, o tratamento com glibenclamida foi capaz de prevenir o comportamento tipo-depressivo e o prejuízo de memória induzido pelo ECI. Do ponto de vista neuroquímico, a glibenclamida reverteu o aumento de IL-1</w:t>
      </w:r>
      <w:r w:rsidRPr="009E3676">
        <w:t>β</w:t>
      </w:r>
      <w:r w:rsidRPr="009E3676">
        <w:rPr>
          <w:lang w:val="pt-BR"/>
        </w:rPr>
        <w:t>, e reverteu parcialmente o aumento nos níveis dos receptores de glicocorticoides no córtex pré-frontal induzido pelo ECI. Não observamos alterações nos níveis da proteína microglial Iba-1, ou das proteínas NLRP3 e pró-caspase-1 no córtex pré-frontal nos grupos submetidos ao ECI e/ou tratados com glibenclamida. Além disso, os níveis de Iba-1, das proteínas da via do inflamassoma NLRP3 (NLRP3, pró-caspase-1, IL-1</w:t>
      </w:r>
      <w:r w:rsidRPr="009E3676">
        <w:t>β</w:t>
      </w:r>
      <w:r w:rsidRPr="009E3676">
        <w:rPr>
          <w:lang w:val="pt-BR"/>
        </w:rPr>
        <w:t>) ou dos receptores de glicocorticoides não foram alterados no hipocampo após o ECI e/ou tratamento com glibenclamida. Assim, este estudo sugere que o tratamento crônico</w:t>
      </w:r>
      <w:r w:rsidRPr="009E3676">
        <w:rPr>
          <w:i/>
          <w:lang w:val="pt-BR"/>
        </w:rPr>
        <w:t xml:space="preserve"> </w:t>
      </w:r>
      <w:r w:rsidRPr="009E3676">
        <w:rPr>
          <w:lang w:val="pt-BR"/>
        </w:rPr>
        <w:t xml:space="preserve">com glibenclamida previne o comportamento tipo-depressivo e déficit de memória induzido pelo estresse crônico em fêmeas. O efeito farmacológico parece ser mediado, em parte, pela normalização dos níveis dos receptores de </w:t>
      </w:r>
      <w:r w:rsidRPr="009E3676">
        <w:rPr>
          <w:lang w:val="pt-BR"/>
        </w:rPr>
        <w:lastRenderedPageBreak/>
        <w:t>glicocorticoides e de IL-1</w:t>
      </w:r>
      <w:r w:rsidRPr="009E3676">
        <w:t>β</w:t>
      </w:r>
      <w:r w:rsidRPr="009E3676">
        <w:rPr>
          <w:lang w:val="pt-BR"/>
        </w:rPr>
        <w:t xml:space="preserve"> no córtex pré-frontal. Contudo, o papel da via do inflamassoma NLRP3 ou de outras vias que regulam a neuroinflamação ainda precisa ser melhor elucidado. </w:t>
      </w:r>
    </w:p>
    <w:p w:rsidR="003E3411" w:rsidRPr="009E3676" w:rsidRDefault="003E3411" w:rsidP="009E3676">
      <w:pPr>
        <w:jc w:val="both"/>
        <w:rPr>
          <w:b/>
          <w:lang w:val="pt-BR"/>
        </w:rPr>
      </w:pPr>
    </w:p>
    <w:p w:rsidR="00F42DDB" w:rsidRPr="009E3676" w:rsidRDefault="003E3411" w:rsidP="009E3676">
      <w:pPr>
        <w:jc w:val="both"/>
        <w:rPr>
          <w:lang w:val="pt-BR"/>
        </w:rPr>
      </w:pPr>
      <w:r w:rsidRPr="009E3676">
        <w:rPr>
          <w:b/>
          <w:lang w:val="pt-BR"/>
        </w:rPr>
        <w:t xml:space="preserve">Palavras-chave: </w:t>
      </w:r>
      <w:r w:rsidRPr="009E3676">
        <w:rPr>
          <w:lang w:val="pt-BR"/>
        </w:rPr>
        <w:t>estresse, comportamento, NLRP3, inflamação</w:t>
      </w:r>
    </w:p>
    <w:p w:rsidR="009E3676" w:rsidRPr="009E3676" w:rsidRDefault="009E3676" w:rsidP="009E3676">
      <w:pPr>
        <w:jc w:val="both"/>
        <w:rPr>
          <w:lang w:val="pt-BR"/>
        </w:rPr>
      </w:pPr>
    </w:p>
    <w:p w:rsidR="009E3676" w:rsidRPr="009E3676" w:rsidRDefault="009E3676" w:rsidP="009E3676">
      <w:pPr>
        <w:jc w:val="both"/>
        <w:rPr>
          <w:lang w:val="pt-BR"/>
        </w:rPr>
      </w:pPr>
    </w:p>
    <w:p w:rsidR="00690442" w:rsidRPr="00690442" w:rsidRDefault="009E3676" w:rsidP="009E3676">
      <w:pPr>
        <w:jc w:val="both"/>
        <w:textAlignment w:val="baseline"/>
        <w:rPr>
          <w:color w:val="000000" w:themeColor="text1"/>
          <w:shd w:val="clear" w:color="auto" w:fill="FFFFFF"/>
          <w:lang w:val="pt-BR"/>
        </w:rPr>
      </w:pPr>
      <w:r w:rsidRPr="00690442">
        <w:rPr>
          <w:color w:val="000000" w:themeColor="text1"/>
          <w:shd w:val="clear" w:color="auto" w:fill="FFFFFF"/>
          <w:vertAlign w:val="superscript"/>
          <w:lang w:val="pt-BR"/>
        </w:rPr>
        <w:t>1</w:t>
      </w:r>
      <w:r w:rsidRPr="00690442">
        <w:rPr>
          <w:color w:val="000000" w:themeColor="text1"/>
          <w:shd w:val="clear" w:color="auto" w:fill="FFFFFF"/>
          <w:lang w:val="pt-BR"/>
        </w:rPr>
        <w:t xml:space="preserve"> </w:t>
      </w:r>
      <w:r w:rsidR="00690442" w:rsidRPr="00690442">
        <w:rPr>
          <w:color w:val="000000" w:themeColor="text1"/>
          <w:shd w:val="clear" w:color="auto" w:fill="FFFFFF"/>
          <w:lang w:val="pt-BR"/>
        </w:rPr>
        <w:t>Labo</w:t>
      </w:r>
      <w:r w:rsidR="00690442">
        <w:rPr>
          <w:color w:val="000000" w:themeColor="text1"/>
          <w:shd w:val="clear" w:color="auto" w:fill="FFFFFF"/>
          <w:lang w:val="pt-BR"/>
        </w:rPr>
        <w:t xml:space="preserve">ratório de biomarcadores em psiquiatria, Departamento de bioquímica, Universidade Federal de Santa Catarina – Brasil </w:t>
      </w:r>
      <w:hyperlink r:id="rId6" w:history="1">
        <w:r w:rsidR="00690442" w:rsidRPr="00690442">
          <w:rPr>
            <w:rStyle w:val="Hyperlink"/>
            <w:lang w:val="pt-BR"/>
          </w:rPr>
          <w:t>axelfogaca@gmail.com</w:t>
        </w:r>
      </w:hyperlink>
    </w:p>
    <w:p w:rsidR="00690442" w:rsidRPr="00690442" w:rsidRDefault="009E3676" w:rsidP="009E3676">
      <w:pPr>
        <w:jc w:val="both"/>
        <w:textAlignment w:val="baseline"/>
        <w:rPr>
          <w:color w:val="000000" w:themeColor="text1"/>
          <w:shd w:val="clear" w:color="auto" w:fill="FFFFFF"/>
          <w:lang w:val="pt-BR"/>
        </w:rPr>
      </w:pPr>
      <w:r w:rsidRPr="00690442">
        <w:rPr>
          <w:color w:val="000000" w:themeColor="text1"/>
          <w:shd w:val="clear" w:color="auto" w:fill="FFFFFF"/>
          <w:vertAlign w:val="superscript"/>
          <w:lang w:val="pt-BR"/>
        </w:rPr>
        <w:t>2</w:t>
      </w:r>
      <w:r w:rsidRPr="00690442">
        <w:rPr>
          <w:color w:val="000000" w:themeColor="text1"/>
          <w:shd w:val="clear" w:color="auto" w:fill="FFFFFF"/>
          <w:lang w:val="pt-BR"/>
        </w:rPr>
        <w:t xml:space="preserve"> </w:t>
      </w:r>
      <w:r w:rsidR="00690442" w:rsidRPr="00690442">
        <w:rPr>
          <w:color w:val="000000" w:themeColor="text1"/>
          <w:shd w:val="clear" w:color="auto" w:fill="FFFFFF"/>
          <w:lang w:val="pt-BR"/>
        </w:rPr>
        <w:t xml:space="preserve">Laboratório de Neurobiologia da depressão, </w:t>
      </w:r>
      <w:r w:rsidR="00690442">
        <w:rPr>
          <w:color w:val="000000" w:themeColor="text1"/>
          <w:shd w:val="clear" w:color="auto" w:fill="FFFFFF"/>
          <w:lang w:val="pt-BR"/>
        </w:rPr>
        <w:t>Departamento de bioquímica, Universidade Federal de Santa Catarina – Brasil</w:t>
      </w:r>
    </w:p>
    <w:p w:rsidR="009E3676" w:rsidRPr="009E3676" w:rsidRDefault="00690442" w:rsidP="009E3676">
      <w:pPr>
        <w:jc w:val="both"/>
        <w:textAlignment w:val="baseline"/>
        <w:rPr>
          <w:color w:val="000000" w:themeColor="text1"/>
          <w:shd w:val="clear" w:color="auto" w:fill="FFFFFF"/>
        </w:rPr>
      </w:pPr>
      <w:r w:rsidRPr="00690442">
        <w:rPr>
          <w:color w:val="000000" w:themeColor="text1"/>
          <w:shd w:val="clear" w:color="auto" w:fill="FFFFFF"/>
        </w:rPr>
        <w:t xml:space="preserve">³ </w:t>
      </w:r>
      <w:r w:rsidR="009E3676" w:rsidRPr="009E3676">
        <w:rPr>
          <w:color w:val="000000" w:themeColor="text1"/>
          <w:shd w:val="clear" w:color="auto" w:fill="FFFFFF"/>
          <w:lang w:val="en-CA"/>
        </w:rPr>
        <w:t xml:space="preserve">Department of Psychiatry and Neuroscience, Faculty of Medicine and CERVO Brain Research Center, </w:t>
      </w:r>
      <w:proofErr w:type="spellStart"/>
      <w:r w:rsidR="009E3676" w:rsidRPr="009E3676">
        <w:rPr>
          <w:color w:val="000000" w:themeColor="text1"/>
          <w:shd w:val="clear" w:color="auto" w:fill="FFFFFF"/>
          <w:lang w:val="en-CA"/>
        </w:rPr>
        <w:t>Université</w:t>
      </w:r>
      <w:proofErr w:type="spellEnd"/>
      <w:r w:rsidR="009E3676" w:rsidRPr="009E3676">
        <w:rPr>
          <w:color w:val="000000" w:themeColor="text1"/>
          <w:shd w:val="clear" w:color="auto" w:fill="FFFFFF"/>
          <w:lang w:val="en-CA"/>
        </w:rPr>
        <w:t xml:space="preserve"> Laval, Quebec City, Canada</w:t>
      </w:r>
    </w:p>
    <w:p w:rsidR="009E3676" w:rsidRPr="009E3676" w:rsidRDefault="009E3676" w:rsidP="009E3676">
      <w:pPr>
        <w:jc w:val="both"/>
      </w:pPr>
    </w:p>
    <w:sectPr w:rsidR="009E3676" w:rsidRPr="009E3676" w:rsidSect="00E6015C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FC3" w:rsidRDefault="00717FC3" w:rsidP="00CA2CA2">
      <w:r>
        <w:separator/>
      </w:r>
    </w:p>
  </w:endnote>
  <w:endnote w:type="continuationSeparator" w:id="0">
    <w:p w:rsidR="00717FC3" w:rsidRDefault="00717FC3" w:rsidP="00CA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FC3" w:rsidRDefault="00717FC3" w:rsidP="00CA2CA2">
      <w:r>
        <w:separator/>
      </w:r>
    </w:p>
  </w:footnote>
  <w:footnote w:type="continuationSeparator" w:id="0">
    <w:p w:rsidR="00717FC3" w:rsidRDefault="00717FC3" w:rsidP="00CA2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A2" w:rsidRDefault="00CA2CA2">
    <w:pPr>
      <w:pStyle w:val="Cabealho"/>
    </w:pPr>
    <w:r>
      <w:rPr>
        <w:noProof/>
        <w:lang w:val="pt-BR" w:eastAsia="pt-BR"/>
      </w:rPr>
      <w:drawing>
        <wp:inline distT="0" distB="0" distL="0" distR="0" wp14:anchorId="608E7E87" wp14:editId="655C72E6">
          <wp:extent cx="5753100" cy="1533525"/>
          <wp:effectExtent l="0" t="0" r="0" b="9525"/>
          <wp:docPr id="17" name="Imagem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m 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2CA2" w:rsidRDefault="00CA2C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411"/>
    <w:rsid w:val="00007660"/>
    <w:rsid w:val="00130763"/>
    <w:rsid w:val="002A494D"/>
    <w:rsid w:val="003D3F32"/>
    <w:rsid w:val="003E3411"/>
    <w:rsid w:val="004012B5"/>
    <w:rsid w:val="00690442"/>
    <w:rsid w:val="00717FC3"/>
    <w:rsid w:val="009E3676"/>
    <w:rsid w:val="00CA2CA2"/>
    <w:rsid w:val="00D94F0E"/>
    <w:rsid w:val="00DD7AA0"/>
    <w:rsid w:val="00E6015C"/>
    <w:rsid w:val="00F4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C28DE-9BDD-4D41-9742-86E440DF6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E367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A2C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2CA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CA2C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2CA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xelfogac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638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Monstro Interno</dc:creator>
  <cp:keywords/>
  <dc:description/>
  <cp:lastModifiedBy>julie fagundes</cp:lastModifiedBy>
  <cp:revision>11</cp:revision>
  <dcterms:created xsi:type="dcterms:W3CDTF">2020-03-02T12:01:00Z</dcterms:created>
  <dcterms:modified xsi:type="dcterms:W3CDTF">2021-03-23T13:45:00Z</dcterms:modified>
</cp:coreProperties>
</file>