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23A78D" w14:textId="4970D8E5" w:rsidR="00B06772" w:rsidRDefault="00B06772" w:rsidP="00A04607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COMO EXAMES DE RETINA PODEM AUXILIAR NO DIAGNÓSTICO PRECOCE DO ALZHEIMER: </w:t>
      </w:r>
      <w:r w:rsidR="00727F95">
        <w:rPr>
          <w:rFonts w:ascii="Times New Roman" w:hAnsi="Times New Roman" w:cs="Times New Roman"/>
          <w:b/>
          <w:sz w:val="24"/>
          <w:szCs w:val="24"/>
        </w:rPr>
        <w:t>REVISÃO LITERÁRIA</w:t>
      </w:r>
    </w:p>
    <w:p w14:paraId="57DFA084" w14:textId="77777777" w:rsidR="00B06772" w:rsidRDefault="00B06772" w:rsidP="000B2EDC">
      <w:pPr>
        <w:pStyle w:val="Standard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79D2387" w14:textId="1923FCBF" w:rsidR="004F5816" w:rsidRPr="00375385" w:rsidRDefault="004F5816" w:rsidP="00375385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68CAE8" w14:textId="77777777" w:rsidR="004F5816" w:rsidRPr="00375385" w:rsidRDefault="004F5816" w:rsidP="00A04607">
      <w:pPr>
        <w:pStyle w:val="Standard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93D1075" w14:textId="77777777" w:rsidR="004F5816" w:rsidRDefault="003E412E" w:rsidP="00A04607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75385">
        <w:rPr>
          <w:rFonts w:ascii="Times New Roman" w:hAnsi="Times New Roman" w:cs="Times New Roman"/>
          <w:sz w:val="24"/>
          <w:szCs w:val="24"/>
        </w:rPr>
        <w:t>Elaine de Souza Doneda</w:t>
      </w:r>
      <w:r w:rsidR="002C1408" w:rsidRPr="00375385"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</w:p>
    <w:p w14:paraId="76AD1AD0" w14:textId="77777777" w:rsidR="00B06772" w:rsidRPr="000B2EDC" w:rsidRDefault="00B06772" w:rsidP="00A04607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Beatriz da Silva Rosa Bonadiman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69EA943F" w14:textId="77777777" w:rsidR="004F5816" w:rsidRPr="00375385" w:rsidRDefault="004F5816" w:rsidP="00375385">
      <w:pPr>
        <w:pStyle w:val="Standard"/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7462A4C" w14:textId="77777777" w:rsidR="00B06772" w:rsidRDefault="00B06772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1A8128" w14:textId="37558C36" w:rsidR="00207CA7" w:rsidRPr="00375385" w:rsidRDefault="003E76D8" w:rsidP="00207CA7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 w:rsidRPr="00375385">
        <w:rPr>
          <w:rFonts w:ascii="Times New Roman" w:hAnsi="Times New Roman" w:cs="Times New Roman"/>
          <w:sz w:val="24"/>
          <w:szCs w:val="24"/>
        </w:rPr>
        <w:t>Atualmente a retina tem sido alvo de estudo na busca de biomarcadores para doenças neurológicas, por compartilhar origens embrionárias, fisiológicas e anatômicas.</w:t>
      </w:r>
      <w:r w:rsidR="00207CA7">
        <w:rPr>
          <w:rFonts w:ascii="Times New Roman" w:hAnsi="Times New Roman" w:cs="Times New Roman"/>
          <w:sz w:val="24"/>
          <w:szCs w:val="24"/>
        </w:rPr>
        <w:t xml:space="preserve"> Sabendo que pacientes com Doença de Alzheimer (DA) apresentam diminuição do fluxo sanguíneo e densidade dos vasos da retina, e</w:t>
      </w:r>
      <w:r w:rsidR="00207CA7" w:rsidRPr="00375385">
        <w:rPr>
          <w:rFonts w:ascii="Times New Roman" w:hAnsi="Times New Roman" w:cs="Times New Roman"/>
          <w:sz w:val="24"/>
          <w:szCs w:val="24"/>
        </w:rPr>
        <w:t>sta revisão tem como objetivo investigar e retratar as alterações da</w:t>
      </w:r>
      <w:r w:rsidR="00207CA7">
        <w:rPr>
          <w:rFonts w:ascii="Times New Roman" w:hAnsi="Times New Roman" w:cs="Times New Roman"/>
          <w:sz w:val="24"/>
          <w:szCs w:val="24"/>
        </w:rPr>
        <w:t xml:space="preserve"> DA</w:t>
      </w:r>
      <w:r w:rsidR="00207CA7" w:rsidRPr="00375385">
        <w:rPr>
          <w:rFonts w:ascii="Times New Roman" w:hAnsi="Times New Roman" w:cs="Times New Roman"/>
          <w:sz w:val="24"/>
          <w:szCs w:val="24"/>
        </w:rPr>
        <w:t xml:space="preserve"> através de exames oftalmológicos não invasivos, focado no estudo angiográfico da retina por uma técnica recente conhecida por Angiografia por tomogr</w:t>
      </w:r>
      <w:r w:rsidR="00207CA7">
        <w:rPr>
          <w:rFonts w:ascii="Times New Roman" w:hAnsi="Times New Roman" w:cs="Times New Roman"/>
          <w:sz w:val="24"/>
          <w:szCs w:val="24"/>
        </w:rPr>
        <w:t>afia de coerência óptica (OCTA)</w:t>
      </w:r>
      <w:r w:rsidR="00207CA7" w:rsidRPr="00375385">
        <w:rPr>
          <w:rFonts w:ascii="Times New Roman" w:hAnsi="Times New Roman" w:cs="Times New Roman"/>
          <w:sz w:val="24"/>
          <w:szCs w:val="24"/>
        </w:rPr>
        <w:t>. Foi realizada pesquisa eletrônica nas bases de dados PubMed e Science Direct, utilizando as palavras chaves: Alzheimer, OCTA, Doença de Alzheimer pré-clínica, biomarcadores entre o período de 2010 até hoje.</w:t>
      </w:r>
      <w:r w:rsidR="000B2EDC">
        <w:rPr>
          <w:rFonts w:ascii="Times New Roman" w:hAnsi="Times New Roman" w:cs="Times New Roman"/>
          <w:sz w:val="24"/>
          <w:szCs w:val="24"/>
        </w:rPr>
        <w:t xml:space="preserve"> </w:t>
      </w:r>
      <w:r w:rsidR="00207CA7" w:rsidRPr="00375385">
        <w:rPr>
          <w:rFonts w:ascii="Times New Roman" w:hAnsi="Times New Roman" w:cs="Times New Roman"/>
          <w:sz w:val="24"/>
          <w:szCs w:val="24"/>
        </w:rPr>
        <w:t>A Doença de Alzheimer é a causa mais comum de demência, sendo um distúrbio neurodegenerativo progressivo comum ao envelhecimento. Sua etiologia é multifatorial, iniciando com o acúmulo de proteínas β amiloide e hiperfosforilação de proteínas tau que moldam emaranhados neurofibrilares, esses fatores levam a inflamação, perda neuronal, alterações vasculares e estresse oxidativo. Os sintomas da DA, classicamente são perda progressiva da memória e alterações comportamentais que se manifestam após já ter perda neuronal extensa e irreversível, de diagnostico tardio, assim implicando no início do tratamento pois nessa fase as alterações neuronais evoluem para déficits cognitivos mais severos e a terapêutica se torna ineficaz. Na DA pré-clínica as alterações fisiopatológicas estão em desenvolvimento com a presença de biomarcadores, porém com sintomas ainda ausentes ou apenas com Comprometimento Cognitivo Leve (CCL) que não afetam as atividades diárias. Todavia, a identificação desses biomarcadores são invasivos, dispendiosos e nem sempre definitivos. A retina pode ser visualizada de forma não invasiva a nível micrométrico por diferentes modalidades diagnósticas, como fotografia de fundo de olho, tomografia de coerência óptica (OCT) e angio</w:t>
      </w:r>
      <w:r w:rsidR="00727F95">
        <w:rPr>
          <w:rFonts w:ascii="Times New Roman" w:hAnsi="Times New Roman" w:cs="Times New Roman"/>
          <w:sz w:val="24"/>
          <w:szCs w:val="24"/>
        </w:rPr>
        <w:t>tomografia</w:t>
      </w:r>
      <w:r w:rsidR="00207CA7" w:rsidRPr="00375385">
        <w:rPr>
          <w:rFonts w:ascii="Times New Roman" w:hAnsi="Times New Roman" w:cs="Times New Roman"/>
          <w:sz w:val="24"/>
          <w:szCs w:val="24"/>
        </w:rPr>
        <w:t xml:space="preserve"> de coerência óptica (OCTA). Este último analisa quantitativamente a microvasculatura retiniana sem injeção de contraste</w:t>
      </w:r>
      <w:r w:rsidR="00207CA7" w:rsidRPr="00207CA7">
        <w:rPr>
          <w:rFonts w:ascii="Times New Roman" w:hAnsi="Times New Roman" w:cs="Times New Roman"/>
          <w:sz w:val="24"/>
          <w:szCs w:val="24"/>
        </w:rPr>
        <w:t xml:space="preserve"> </w:t>
      </w:r>
      <w:r w:rsidR="00207CA7" w:rsidRPr="00375385">
        <w:rPr>
          <w:rFonts w:ascii="Times New Roman" w:hAnsi="Times New Roman" w:cs="Times New Roman"/>
          <w:sz w:val="24"/>
          <w:szCs w:val="24"/>
        </w:rPr>
        <w:t>buscando alterações na microvasculatura retiniana que se correlacionam e se manifestam na DA e em sua fase pré-clínica, que possa ser utilizada como método de rastreio e diagnóstico através de novos biomarcadores</w:t>
      </w:r>
      <w:r w:rsidR="00207CA7">
        <w:rPr>
          <w:rFonts w:ascii="Times New Roman" w:hAnsi="Times New Roman" w:cs="Times New Roman"/>
          <w:sz w:val="24"/>
          <w:szCs w:val="24"/>
        </w:rPr>
        <w:t>.</w:t>
      </w:r>
      <w:r w:rsidR="00207CA7" w:rsidRPr="00375385">
        <w:rPr>
          <w:rFonts w:ascii="Times New Roman" w:hAnsi="Times New Roman" w:cs="Times New Roman"/>
          <w:sz w:val="24"/>
          <w:szCs w:val="24"/>
        </w:rPr>
        <w:t xml:space="preserve"> Vários estudos já demonstraram que a OCTA detecta diminuição da densidade vascular e aumento da zona avascular da fóvea (FAZ) em indivíduos com DA já estabelecida e </w:t>
      </w:r>
      <w:r w:rsidR="00207CA7" w:rsidRPr="00727F95">
        <w:rPr>
          <w:rFonts w:ascii="Times New Roman" w:hAnsi="Times New Roman" w:cs="Times New Roman"/>
          <w:sz w:val="24"/>
          <w:szCs w:val="24"/>
        </w:rPr>
        <w:t>na fase pré-clínica quando</w:t>
      </w:r>
      <w:r w:rsidR="00207CA7" w:rsidRPr="00375385">
        <w:rPr>
          <w:rFonts w:ascii="Times New Roman" w:hAnsi="Times New Roman" w:cs="Times New Roman"/>
          <w:sz w:val="24"/>
          <w:szCs w:val="24"/>
        </w:rPr>
        <w:t xml:space="preserve"> comparados a controles saudáveis. Sabendo-se que além da </w:t>
      </w:r>
      <w:r w:rsidR="00207CA7" w:rsidRPr="00375385">
        <w:rPr>
          <w:rFonts w:ascii="Times New Roman" w:hAnsi="Times New Roman" w:cs="Times New Roman"/>
          <w:sz w:val="24"/>
          <w:szCs w:val="24"/>
        </w:rPr>
        <w:lastRenderedPageBreak/>
        <w:t>degeneração do SNC, há também a existência de alterações vasculares que, principalmente na retina, tem associação positiva com a DA, e que essas alterações parecem ocorrer antes da fase sintomática, seu estudo pode permitir antecipar o diagnóstico e o tratamento e, dessa forma protelar os surgimentos dos sintomas. Conclui-se que a investigação da retin</w:t>
      </w:r>
      <w:r w:rsidR="00727F95">
        <w:rPr>
          <w:rFonts w:ascii="Times New Roman" w:hAnsi="Times New Roman" w:cs="Times New Roman"/>
          <w:sz w:val="24"/>
          <w:szCs w:val="24"/>
        </w:rPr>
        <w:t>a pode ser um método eficaz para</w:t>
      </w:r>
      <w:r w:rsidR="00207CA7" w:rsidRPr="00375385">
        <w:rPr>
          <w:rFonts w:ascii="Times New Roman" w:hAnsi="Times New Roman" w:cs="Times New Roman"/>
          <w:sz w:val="24"/>
          <w:szCs w:val="24"/>
        </w:rPr>
        <w:t xml:space="preserve"> utilização de rastreio pela correlação encontrada, mas que ainda se faz necessário estudos mais amplos que melhor correlatem alterações microvasculares e que contribuam para a identificação de novos biomarcadores.</w:t>
      </w:r>
    </w:p>
    <w:p w14:paraId="7A17D13F" w14:textId="77777777" w:rsidR="003E412E" w:rsidRPr="00375385" w:rsidRDefault="003E412E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C35C5D" w14:textId="77777777" w:rsidR="003E412E" w:rsidRPr="00375385" w:rsidRDefault="003E412E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BB4D01" w14:textId="1FA3702C" w:rsidR="003E412E" w:rsidRPr="00375385" w:rsidRDefault="00207CA7" w:rsidP="000B2EDC">
      <w:pPr>
        <w:rPr>
          <w:rFonts w:ascii="Times New Roman" w:hAnsi="Times New Roman" w:cs="Times New Roman"/>
          <w:b/>
          <w:sz w:val="24"/>
          <w:szCs w:val="24"/>
        </w:rPr>
      </w:pPr>
      <w:r w:rsidRPr="00207CA7">
        <w:rPr>
          <w:rFonts w:ascii="Times New Roman" w:hAnsi="Times New Roman" w:cs="Times New Roman"/>
          <w:b/>
          <w:color w:val="00000A"/>
          <w:sz w:val="24"/>
          <w:szCs w:val="24"/>
        </w:rPr>
        <w:t xml:space="preserve">Palavras-chave: </w:t>
      </w:r>
      <w:r w:rsidRPr="000B2EDC">
        <w:rPr>
          <w:rFonts w:ascii="Times New Roman" w:hAnsi="Times New Roman" w:cs="Times New Roman"/>
          <w:color w:val="00000A"/>
          <w:sz w:val="24"/>
          <w:szCs w:val="24"/>
        </w:rPr>
        <w:t>Alzheimer. OCTA. Doença de Alzheimer pré-clínica. Biomarcadores.</w:t>
      </w:r>
    </w:p>
    <w:p w14:paraId="5785E485" w14:textId="77777777" w:rsidR="003E412E" w:rsidRPr="00375385" w:rsidRDefault="003E412E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9CB542" w14:textId="77777777" w:rsidR="003E412E" w:rsidRPr="00375385" w:rsidRDefault="003E412E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B06420" w14:textId="1CE6589B" w:rsidR="00776AE0" w:rsidRPr="00776AE0" w:rsidRDefault="00776AE0" w:rsidP="00776AE0">
      <w:pPr>
        <w:pStyle w:val="Standard"/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commentRangeStart w:id="0"/>
      <w:r w:rsidRPr="00776AE0">
        <w:rPr>
          <w:rFonts w:ascii="Times New Roman" w:hAnsi="Times New Roman" w:cs="Times New Roman"/>
          <w:b/>
          <w:bCs/>
          <w:sz w:val="24"/>
          <w:szCs w:val="24"/>
        </w:rPr>
        <w:t xml:space="preserve">Categoria: </w:t>
      </w:r>
      <w:sdt>
        <w:sdtPr>
          <w:rPr>
            <w:rFonts w:ascii="Times New Roman" w:hAnsi="Times New Roman" w:cs="Times New Roman"/>
            <w:bCs/>
            <w:sz w:val="24"/>
            <w:szCs w:val="24"/>
          </w:rPr>
          <w:id w:val="352695828"/>
          <w:placeholder>
            <w:docPart w:val="7A0B0B70D548428992CD9B60F14A04B5"/>
          </w:placeholder>
          <w:comboBox>
            <w:listItem w:value="Escolher um item."/>
            <w:listItem w:displayText="UFFS - Ensino" w:value="UFFS - Ensino"/>
            <w:listItem w:displayText="UFFS - Pesquisa" w:value="UFFS - Pesquisa"/>
            <w:listItem w:displayText="UFFS - Extensão" w:value="UFFS - Extensão"/>
            <w:listItem w:displayText="UFFS - Cultura" w:value="UFFS - Cultura"/>
            <w:listItem w:displayText="Outra Instituição" w:value="Outra Instituição"/>
          </w:comboBox>
        </w:sdtPr>
        <w:sdtContent>
          <w:r w:rsidR="00727F95">
            <w:rPr>
              <w:rFonts w:ascii="Times New Roman" w:hAnsi="Times New Roman" w:cs="Times New Roman"/>
              <w:bCs/>
              <w:sz w:val="24"/>
              <w:szCs w:val="24"/>
            </w:rPr>
            <w:t>Outra Instituição</w:t>
          </w:r>
        </w:sdtContent>
      </w:sdt>
    </w:p>
    <w:p w14:paraId="4CFDF09F" w14:textId="3732DF6C" w:rsidR="00776AE0" w:rsidRPr="00776AE0" w:rsidRDefault="00776AE0" w:rsidP="00776AE0">
      <w:pPr>
        <w:pStyle w:val="Standard"/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76AE0">
        <w:rPr>
          <w:rFonts w:ascii="Times New Roman" w:hAnsi="Times New Roman" w:cs="Times New Roman"/>
          <w:b/>
          <w:bCs/>
          <w:sz w:val="24"/>
          <w:szCs w:val="24"/>
        </w:rPr>
        <w:t xml:space="preserve">Área do Conhecimento: </w:t>
      </w:r>
      <w:sdt>
        <w:sdtPr>
          <w:rPr>
            <w:rFonts w:ascii="Times New Roman" w:hAnsi="Times New Roman" w:cs="Times New Roman"/>
            <w:bCs/>
            <w:sz w:val="24"/>
            <w:szCs w:val="24"/>
          </w:rPr>
          <w:id w:val="-114289868"/>
          <w:placeholder>
            <w:docPart w:val="8C216E24E0394CADB12E0246E29D7BC8"/>
          </w:placeholder>
          <w:comboBox>
            <w:listItem w:value="Escolher um item."/>
            <w:listItem w:displayText="Ciências Exatas e da Terra" w:value="Ciências Exatas e da Terra"/>
            <w:listItem w:displayText="Ciências Biológicas" w:value="Ciências Biológicas"/>
            <w:listItem w:displayText="Engenharias" w:value="Engenharias"/>
            <w:listItem w:displayText="Ciências da Saúde" w:value="Ciências da Saúde"/>
            <w:listItem w:displayText="Ciências Agrárias" w:value="Ciências Agrárias"/>
            <w:listItem w:displayText="Ciências Sociais Aplicadas" w:value="Ciências Sociais Aplicadas"/>
            <w:listItem w:displayText="Ciências Humanas" w:value="Ciências Humanas"/>
            <w:listItem w:displayText="Linguística, Letras e Artes" w:value="Linguística, Letras e Artes"/>
            <w:listItem w:displayText="Outros" w:value="Outros"/>
          </w:comboBox>
        </w:sdtPr>
        <w:sdtContent>
          <w:r w:rsidR="00727F95">
            <w:rPr>
              <w:rFonts w:ascii="Times New Roman" w:hAnsi="Times New Roman" w:cs="Times New Roman"/>
              <w:bCs/>
              <w:sz w:val="24"/>
              <w:szCs w:val="24"/>
            </w:rPr>
            <w:t>Ciências da Saúde</w:t>
          </w:r>
        </w:sdtContent>
      </w:sdt>
    </w:p>
    <w:p w14:paraId="4504EB2A" w14:textId="5D5939B9" w:rsidR="00776AE0" w:rsidRPr="00776AE0" w:rsidRDefault="00776AE0" w:rsidP="00776AE0">
      <w:pPr>
        <w:pStyle w:val="Standard"/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76AE0">
        <w:rPr>
          <w:rFonts w:ascii="Times New Roman" w:hAnsi="Times New Roman" w:cs="Times New Roman"/>
          <w:b/>
          <w:bCs/>
          <w:sz w:val="24"/>
          <w:szCs w:val="24"/>
        </w:rPr>
        <w:t>Formato:</w:t>
      </w:r>
      <w:r w:rsidRPr="00776AE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A76428">
        <w:rPr>
          <w:rFonts w:ascii="Times New Roman" w:hAnsi="Times New Roman" w:cs="Times New Roman"/>
          <w:bCs/>
          <w:sz w:val="24"/>
          <w:szCs w:val="24"/>
        </w:rPr>
        <w:t>Pôster</w:t>
      </w:r>
      <w:bookmarkStart w:id="1" w:name="_GoBack"/>
      <w:bookmarkEnd w:id="1"/>
      <w:r w:rsidR="00A76428">
        <w:rPr>
          <w:rFonts w:ascii="Times New Roman" w:hAnsi="Times New Roman" w:cs="Times New Roman"/>
          <w:bCs/>
          <w:sz w:val="24"/>
          <w:szCs w:val="24"/>
        </w:rPr>
        <w:tab/>
      </w:r>
      <w:r w:rsidRPr="00776AE0">
        <w:rPr>
          <w:rFonts w:ascii="Times New Roman" w:hAnsi="Times New Roman" w:cs="Times New Roman"/>
          <w:b/>
          <w:bCs/>
          <w:color w:val="auto"/>
          <w:sz w:val="24"/>
          <w:szCs w:val="24"/>
        </w:rPr>
      </w:r>
      <w:commentRangeEnd w:id="0"/>
      <w:r w:rsidRPr="00776AE0">
        <w:rPr>
          <w:rStyle w:val="Refdecomentrio"/>
          <w:rFonts w:ascii="Times New Roman" w:eastAsiaTheme="minorHAnsi" w:hAnsi="Times New Roman" w:cs="Times New Roman"/>
          <w:noProof/>
          <w:color w:val="auto"/>
          <w:kern w:val="0"/>
          <w:sz w:val="24"/>
          <w:szCs w:val="24"/>
        </w:rPr>
        <w:commentReference w:id="0"/>
      </w:r>
    </w:p>
    <w:p w14:paraId="04E270E2" w14:textId="77777777" w:rsidR="003E412E" w:rsidRPr="00375385" w:rsidRDefault="003E412E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D7737E" w14:textId="77777777" w:rsidR="003E412E" w:rsidRPr="00375385" w:rsidRDefault="003E412E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69844" w14:textId="77777777" w:rsidR="003E412E" w:rsidRPr="00375385" w:rsidRDefault="003E412E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BC4D56" w14:textId="77777777" w:rsidR="003E412E" w:rsidRPr="00375385" w:rsidRDefault="003E412E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EF8D8B" w14:textId="77777777" w:rsidR="003E412E" w:rsidRPr="00375385" w:rsidRDefault="003E412E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15FB44" w14:textId="77777777" w:rsidR="003E412E" w:rsidRPr="00375385" w:rsidRDefault="003E412E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553D97" w14:textId="77777777" w:rsidR="003E412E" w:rsidRPr="00375385" w:rsidRDefault="003E412E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28942E" w14:textId="77777777" w:rsidR="004F5816" w:rsidRPr="00375385" w:rsidRDefault="004F5816">
      <w:pPr>
        <w:pStyle w:val="Standard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AC9B01B" w14:textId="2A2BB086" w:rsidR="004F5816" w:rsidRPr="00375385" w:rsidRDefault="00B922EB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385">
        <w:rPr>
          <w:rFonts w:ascii="Times New Roman" w:hAnsi="Times New Roman" w:cs="Times New Roman"/>
          <w:sz w:val="24"/>
          <w:szCs w:val="24"/>
        </w:rPr>
        <w:tab/>
      </w:r>
    </w:p>
    <w:p w14:paraId="26964880" w14:textId="77777777" w:rsidR="004F5816" w:rsidRPr="00375385" w:rsidRDefault="004F5816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6816B6" w14:textId="77777777" w:rsidR="004F5816" w:rsidRPr="00375385" w:rsidRDefault="004F5816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3C3782" w14:textId="77777777" w:rsidR="004F5816" w:rsidRPr="00375385" w:rsidRDefault="004F5816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2A4593" w14:textId="77777777" w:rsidR="004F5816" w:rsidRPr="00375385" w:rsidRDefault="004F5816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BBFFF3" w14:textId="77777777" w:rsidR="004F5816" w:rsidRPr="00375385" w:rsidRDefault="004F5816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570E88" w14:textId="77777777" w:rsidR="004F5816" w:rsidRPr="00375385" w:rsidRDefault="004F5816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D5378B" w14:textId="77777777" w:rsidR="004F5816" w:rsidRPr="00375385" w:rsidRDefault="004F5816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7E9449" w14:textId="27ECC010" w:rsidR="004F5816" w:rsidRPr="00375385" w:rsidRDefault="004F5816">
      <w:pPr>
        <w:pStyle w:val="Standard"/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4F5816" w:rsidRPr="00375385" w:rsidSect="00A04607">
      <w:headerReference w:type="default" r:id="rId10"/>
      <w:footerReference w:type="default" r:id="rId11"/>
      <w:pgSz w:w="11906" w:h="16838" w:code="9"/>
      <w:pgMar w:top="1701" w:right="1134" w:bottom="1134" w:left="1701" w:header="142" w:footer="1134" w:gutter="0"/>
      <w:cols w:space="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Windows 10" w:date="2020-02-16T09:59:00Z" w:initials="W1">
    <w:p w14:paraId="68BE7735" w14:textId="77777777" w:rsidR="00776AE0" w:rsidRDefault="00776AE0" w:rsidP="00776AE0">
      <w:pPr>
        <w:pStyle w:val="Textodecomentrio"/>
      </w:pPr>
      <w:r>
        <w:rPr>
          <w:rStyle w:val="Refdecomentrio"/>
        </w:rPr>
        <w:annotationRef/>
      </w:r>
      <w:r>
        <w:t>Deve ter dicas de como preencher aqui nas normas do evento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8BE7735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588FB0" w14:textId="77777777" w:rsidR="005A4AF0" w:rsidRDefault="005A4AF0">
      <w:pPr>
        <w:spacing w:line="240" w:lineRule="auto"/>
      </w:pPr>
      <w:r>
        <w:separator/>
      </w:r>
    </w:p>
  </w:endnote>
  <w:endnote w:type="continuationSeparator" w:id="0">
    <w:p w14:paraId="3F4967FC" w14:textId="77777777" w:rsidR="005A4AF0" w:rsidRDefault="005A4A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Times New Roman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BADA2B" w14:textId="57FD067B" w:rsidR="00776AE0" w:rsidRDefault="00776AE0" w:rsidP="00776AE0">
    <w:pPr>
      <w:pStyle w:val="Rodap"/>
    </w:pPr>
    <w:r>
      <w:t>¹</w:t>
    </w:r>
    <w:r>
      <w:t>Graduanda de Biomedicina, Universidade do Oeste de Santa Catarina (Unoesc), Campus Xaxim, elainesouzadnd@gmail.com</w:t>
    </w:r>
  </w:p>
  <w:p w14:paraId="575ACD9B" w14:textId="7D91E90F" w:rsidR="00776AE0" w:rsidRDefault="008A1E61" w:rsidP="00776AE0">
    <w:pPr>
      <w:pStyle w:val="Rodap"/>
    </w:pPr>
    <w:r>
      <w:t>²Biomédica</w:t>
    </w:r>
    <w:r w:rsidR="00776AE0">
      <w:t>, mestre em Farmacologia (UFSM), doutoranda em Bioquímica (UFSC), docente da Universidade do Oeste de Santa Catarina campus Xanxerê. beadasilvarosa@gmail.com</w:t>
    </w:r>
  </w:p>
  <w:p w14:paraId="4412D0E0" w14:textId="77777777" w:rsidR="00153989" w:rsidRDefault="00153989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B23BF8" w14:textId="77777777" w:rsidR="005A4AF0" w:rsidRDefault="005A4AF0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2D477844" w14:textId="77777777" w:rsidR="005A4AF0" w:rsidRDefault="005A4AF0">
      <w:pPr>
        <w:spacing w:line="240" w:lineRule="auto"/>
      </w:pPr>
      <w:r>
        <w:continuationSeparator/>
      </w:r>
    </w:p>
  </w:footnote>
  <w:footnote w:id="1">
    <w:p w14:paraId="7C92FCF6" w14:textId="2DFF708A" w:rsidR="00A13D72" w:rsidRDefault="00A13D72">
      <w:pPr>
        <w:pStyle w:val="Textodenotaderodap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FDAC02" w14:textId="77777777" w:rsidR="00153989" w:rsidRDefault="00035AF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6AA1D11E" wp14:editId="5CE055FF">
          <wp:extent cx="5753100" cy="1533525"/>
          <wp:effectExtent l="0" t="0" r="0" b="952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533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BCAE8F" w14:textId="77777777" w:rsidR="00153989" w:rsidRDefault="00153989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90B26"/>
    <w:multiLevelType w:val="multilevel"/>
    <w:tmpl w:val="B9DCB976"/>
    <w:styleLink w:val="Sem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indows 10">
    <w15:presenceInfo w15:providerId="None" w15:userId="Windows 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816"/>
    <w:rsid w:val="00035AF3"/>
    <w:rsid w:val="000B2EDC"/>
    <w:rsid w:val="000F3F53"/>
    <w:rsid w:val="00130EEC"/>
    <w:rsid w:val="00153989"/>
    <w:rsid w:val="0017598F"/>
    <w:rsid w:val="00193C64"/>
    <w:rsid w:val="001A31D4"/>
    <w:rsid w:val="00207CA7"/>
    <w:rsid w:val="002C1408"/>
    <w:rsid w:val="00361490"/>
    <w:rsid w:val="00375385"/>
    <w:rsid w:val="003E412E"/>
    <w:rsid w:val="003E76D8"/>
    <w:rsid w:val="004529DD"/>
    <w:rsid w:val="004C16D9"/>
    <w:rsid w:val="004F5816"/>
    <w:rsid w:val="00520CD6"/>
    <w:rsid w:val="005A4AF0"/>
    <w:rsid w:val="005D5107"/>
    <w:rsid w:val="0061697E"/>
    <w:rsid w:val="00634A13"/>
    <w:rsid w:val="00637769"/>
    <w:rsid w:val="006845BE"/>
    <w:rsid w:val="006C5E1E"/>
    <w:rsid w:val="00727F95"/>
    <w:rsid w:val="00776AE0"/>
    <w:rsid w:val="007E4E05"/>
    <w:rsid w:val="008A1E61"/>
    <w:rsid w:val="009C6585"/>
    <w:rsid w:val="00A04607"/>
    <w:rsid w:val="00A128E6"/>
    <w:rsid w:val="00A13D72"/>
    <w:rsid w:val="00A61D88"/>
    <w:rsid w:val="00A76428"/>
    <w:rsid w:val="00A81E70"/>
    <w:rsid w:val="00B06772"/>
    <w:rsid w:val="00B1399E"/>
    <w:rsid w:val="00B26F34"/>
    <w:rsid w:val="00B523A5"/>
    <w:rsid w:val="00B922EB"/>
    <w:rsid w:val="00C90584"/>
    <w:rsid w:val="00CB36BF"/>
    <w:rsid w:val="00CC5407"/>
    <w:rsid w:val="00D16C95"/>
    <w:rsid w:val="00D70F28"/>
    <w:rsid w:val="00DE2C9A"/>
    <w:rsid w:val="00E75F2C"/>
    <w:rsid w:val="00E94FB4"/>
    <w:rsid w:val="00EE4936"/>
    <w:rsid w:val="00FD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F2D813"/>
  <w15:docId w15:val="{19A33E4A-75FB-4370-BF76-72E1B8942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kern w:val="3"/>
        <w:sz w:val="22"/>
        <w:szCs w:val="22"/>
        <w:lang w:val="pt-BR" w:eastAsia="en-US" w:bidi="ar-SA"/>
      </w:rPr>
    </w:rPrDefault>
    <w:pPrDefault>
      <w:pPr>
        <w:widowControl w:val="0"/>
        <w:suppressAutoHyphens/>
        <w:autoSpaceDN w:val="0"/>
        <w:spacing w:line="259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Heading"/>
    <w:pPr>
      <w:outlineLvl w:val="0"/>
    </w:pPr>
  </w:style>
  <w:style w:type="paragraph" w:styleId="Ttulo2">
    <w:name w:val="heading 2"/>
    <w:basedOn w:val="Heading"/>
    <w:pPr>
      <w:outlineLvl w:val="1"/>
    </w:pPr>
  </w:style>
  <w:style w:type="paragraph" w:styleId="Ttulo3">
    <w:name w:val="heading 3"/>
    <w:basedOn w:val="Heading"/>
    <w:pPr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/>
    </w:pPr>
    <w:rPr>
      <w:color w:val="00000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xtodebalo">
    <w:name w:val="Balloon Text"/>
    <w:basedOn w:val="Standard"/>
    <w:pPr>
      <w:spacing w:after="0" w:line="240" w:lineRule="auto"/>
    </w:pPr>
    <w:rPr>
      <w:rFonts w:ascii="Tahoma" w:eastAsia="Tahoma" w:hAnsi="Tahoma"/>
      <w:sz w:val="16"/>
      <w:szCs w:val="16"/>
    </w:rPr>
  </w:style>
  <w:style w:type="paragraph" w:styleId="Textodecomentrio">
    <w:name w:val="annotation text"/>
    <w:basedOn w:val="Standard"/>
    <w:link w:val="TextodecomentrioChar"/>
    <w:uiPriority w:val="99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rPr>
      <w:b/>
      <w:bCs/>
    </w:rPr>
  </w:style>
  <w:style w:type="paragraph" w:styleId="Cabealho">
    <w:name w:val="head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Standard"/>
    <w:link w:val="RodapChar"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Textodenotaderodap">
    <w:name w:val="footnote text"/>
    <w:basedOn w:val="Standard"/>
    <w:pPr>
      <w:spacing w:after="0" w:line="240" w:lineRule="auto"/>
    </w:pPr>
    <w:rPr>
      <w:sz w:val="20"/>
      <w:szCs w:val="20"/>
    </w:rPr>
  </w:style>
  <w:style w:type="paragraph" w:customStyle="1" w:styleId="Footnote">
    <w:name w:val="Footnote"/>
    <w:basedOn w:val="Standard"/>
  </w:style>
  <w:style w:type="paragraph" w:customStyle="1" w:styleId="Quotations">
    <w:name w:val="Quotations"/>
    <w:basedOn w:val="Standard"/>
  </w:style>
  <w:style w:type="paragraph" w:styleId="Ttulo">
    <w:name w:val="Title"/>
    <w:basedOn w:val="Heading"/>
  </w:style>
  <w:style w:type="paragraph" w:styleId="Subttulo">
    <w:name w:val="Subtitle"/>
    <w:basedOn w:val="Heading"/>
  </w:style>
  <w:style w:type="character" w:customStyle="1" w:styleId="BalloonTextChar">
    <w:name w:val="Balloon Text Char"/>
    <w:basedOn w:val="Fontepargpadro"/>
    <w:rPr>
      <w:rFonts w:ascii="Tahoma" w:eastAsia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rPr>
      <w:sz w:val="16"/>
      <w:szCs w:val="16"/>
    </w:rPr>
  </w:style>
  <w:style w:type="character" w:customStyle="1" w:styleId="CommentTextChar">
    <w:name w:val="Comment Text Char"/>
    <w:basedOn w:val="Fontepargpadro"/>
    <w:rPr>
      <w:sz w:val="20"/>
      <w:szCs w:val="20"/>
    </w:rPr>
  </w:style>
  <w:style w:type="character" w:customStyle="1" w:styleId="CommentSubjectChar">
    <w:name w:val="Comment Subject Char"/>
    <w:basedOn w:val="CommentTextChar"/>
    <w:rPr>
      <w:b/>
      <w:bCs/>
      <w:sz w:val="20"/>
      <w:szCs w:val="20"/>
    </w:rPr>
  </w:style>
  <w:style w:type="character" w:styleId="Forte">
    <w:name w:val="Strong"/>
    <w:basedOn w:val="Fontepargpadro"/>
    <w:rPr>
      <w:b/>
      <w:bCs/>
    </w:rPr>
  </w:style>
  <w:style w:type="character" w:customStyle="1" w:styleId="apple-converted-space">
    <w:name w:val="apple-converted-space"/>
    <w:basedOn w:val="Fontepargpadro"/>
  </w:style>
  <w:style w:type="character" w:customStyle="1" w:styleId="HeaderChar">
    <w:name w:val="Header Char"/>
    <w:basedOn w:val="Fontepargpadro"/>
  </w:style>
  <w:style w:type="character" w:customStyle="1" w:styleId="FooterChar">
    <w:name w:val="Footer Char"/>
    <w:basedOn w:val="Fontepargpadro"/>
  </w:style>
  <w:style w:type="character" w:customStyle="1" w:styleId="Internetlink">
    <w:name w:val="Internet link"/>
    <w:basedOn w:val="Fontepargpadro"/>
    <w:rPr>
      <w:color w:val="0563C1"/>
      <w:u w:val="single"/>
    </w:rPr>
  </w:style>
  <w:style w:type="character" w:customStyle="1" w:styleId="FootnoteTextChar">
    <w:name w:val="Footnote Text Char"/>
    <w:basedOn w:val="Fontepargpadro"/>
    <w:rPr>
      <w:sz w:val="20"/>
      <w:szCs w:val="20"/>
    </w:rPr>
  </w:style>
  <w:style w:type="character" w:styleId="Refdenotaderodap">
    <w:name w:val="footnote reference"/>
    <w:basedOn w:val="Fontepargpadro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HeaderChar1">
    <w:name w:val="Header Char1"/>
    <w:basedOn w:val="Fontepargpadro"/>
    <w:rPr>
      <w:color w:val="00000A"/>
      <w:sz w:val="22"/>
    </w:rPr>
  </w:style>
  <w:style w:type="character" w:customStyle="1" w:styleId="FooterChar1">
    <w:name w:val="Footer Char1"/>
    <w:basedOn w:val="Fontepargpadro"/>
    <w:rPr>
      <w:color w:val="00000A"/>
      <w:sz w:val="22"/>
    </w:rPr>
  </w:style>
  <w:style w:type="numbering" w:customStyle="1" w:styleId="Semlista1">
    <w:name w:val="Sem lista1"/>
    <w:basedOn w:val="Semlista"/>
    <w:pPr>
      <w:numPr>
        <w:numId w:val="1"/>
      </w:numPr>
    </w:pPr>
  </w:style>
  <w:style w:type="character" w:styleId="TextodoEspaoReservado">
    <w:name w:val="Placeholder Text"/>
    <w:basedOn w:val="Fontepargpadro"/>
    <w:uiPriority w:val="99"/>
    <w:semiHidden/>
    <w:rsid w:val="007E4E05"/>
    <w:rPr>
      <w:color w:val="808080"/>
    </w:rPr>
  </w:style>
  <w:style w:type="character" w:styleId="Hyperlink">
    <w:name w:val="Hyperlink"/>
    <w:basedOn w:val="Fontepargpadro"/>
    <w:uiPriority w:val="99"/>
    <w:unhideWhenUsed/>
    <w:rsid w:val="00375385"/>
    <w:rPr>
      <w:color w:val="0000FF"/>
      <w:u w:val="single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76AE0"/>
    <w:rPr>
      <w:color w:val="00000A"/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776AE0"/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9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A0B0B70D548428992CD9B60F14A04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5E313D-16F7-473B-88E0-3387C4DC882A}"/>
      </w:docPartPr>
      <w:docPartBody>
        <w:p w:rsidR="00000000" w:rsidRDefault="001A61EC" w:rsidP="001A61EC">
          <w:pPr>
            <w:pStyle w:val="7A0B0B70D548428992CD9B60F14A04B5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  <w:docPart>
      <w:docPartPr>
        <w:name w:val="8C216E24E0394CADB12E0246E29D7B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0653F8-D614-40F4-9BBC-4BB5935231B3}"/>
      </w:docPartPr>
      <w:docPartBody>
        <w:p w:rsidR="00000000" w:rsidRDefault="001A61EC" w:rsidP="001A61EC">
          <w:pPr>
            <w:pStyle w:val="8C216E24E0394CADB12E0246E29D7BC8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Times New Roman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1EC"/>
    <w:rsid w:val="00050774"/>
    <w:rsid w:val="001A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A61EC"/>
    <w:rPr>
      <w:color w:val="808080"/>
    </w:rPr>
  </w:style>
  <w:style w:type="paragraph" w:customStyle="1" w:styleId="7A0B0B70D548428992CD9B60F14A04B5">
    <w:name w:val="7A0B0B70D548428992CD9B60F14A04B5"/>
    <w:rsid w:val="001A61EC"/>
  </w:style>
  <w:style w:type="paragraph" w:customStyle="1" w:styleId="8C216E24E0394CADB12E0246E29D7BC8">
    <w:name w:val="8C216E24E0394CADB12E0246E29D7BC8"/>
    <w:rsid w:val="001A61EC"/>
  </w:style>
  <w:style w:type="paragraph" w:customStyle="1" w:styleId="283107E306EC48369BA902AE2612A94D">
    <w:name w:val="283107E306EC48369BA902AE2612A94D"/>
    <w:rsid w:val="001A61EC"/>
  </w:style>
  <w:style w:type="paragraph" w:customStyle="1" w:styleId="64A78905B81445DDBE241438579DAE1D">
    <w:name w:val="64A78905B81445DDBE241438579DAE1D"/>
    <w:rsid w:val="001A61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0ED3E-CA38-45EE-AB35-0A27DFC27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507</Words>
  <Characters>3037</Characters>
  <Application>Microsoft Office Word</Application>
  <DocSecurity>0</DocSecurity>
  <Lines>77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Junior Ogliari</dc:creator>
  <cp:keywords/>
  <dc:description/>
  <cp:lastModifiedBy>User</cp:lastModifiedBy>
  <cp:revision>6</cp:revision>
  <cp:lastPrinted>2018-05-23T15:28:00Z</cp:lastPrinted>
  <dcterms:created xsi:type="dcterms:W3CDTF">2020-02-17T18:53:00Z</dcterms:created>
  <dcterms:modified xsi:type="dcterms:W3CDTF">2020-02-18T16:19:00Z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