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BF0A6" w14:textId="77777777" w:rsidR="00930C06" w:rsidRDefault="00930C06" w:rsidP="00C279D6">
      <w:pPr>
        <w:pStyle w:val="LO-Normal"/>
        <w:widowControl w:val="0"/>
        <w:spacing w:before="0" w:after="0"/>
      </w:pPr>
    </w:p>
    <w:p w14:paraId="697BF0A7" w14:textId="6F2A7A2D" w:rsidR="00930C06" w:rsidRDefault="007F3B53">
      <w:pPr>
        <w:pStyle w:val="LO-Normal"/>
        <w:widowControl w:val="0"/>
        <w:spacing w:before="57" w:after="57"/>
        <w:jc w:val="center"/>
      </w:pPr>
      <w:r w:rsidRPr="007F3B53">
        <w:rPr>
          <w:rStyle w:val="Fontepargpadro1"/>
          <w:rFonts w:hint="eastAsia"/>
          <w:b/>
          <w:bCs/>
          <w:color w:val="000000"/>
        </w:rPr>
        <w:t>AVALIAÇÃO DA SINALIZAÇÃO PURINÉRGICA E DE PAR</w:t>
      </w:r>
      <w:r>
        <w:rPr>
          <w:rStyle w:val="Fontepargpadro1"/>
          <w:b/>
          <w:bCs/>
          <w:color w:val="000000"/>
        </w:rPr>
        <w:t>Â</w:t>
      </w:r>
      <w:r w:rsidRPr="007F3B53">
        <w:rPr>
          <w:rStyle w:val="Fontepargpadro1"/>
          <w:rFonts w:hint="eastAsia"/>
          <w:b/>
          <w:bCs/>
          <w:color w:val="000000"/>
        </w:rPr>
        <w:t>METROS INFLAMATÓRIOS EM COMPONENTES SANGUÍNEOS DE PACIENTES COM C</w:t>
      </w:r>
      <w:r>
        <w:rPr>
          <w:rStyle w:val="Fontepargpadro1"/>
          <w:b/>
          <w:bCs/>
          <w:color w:val="000000"/>
        </w:rPr>
        <w:t>Â</w:t>
      </w:r>
      <w:r w:rsidRPr="007F3B53">
        <w:rPr>
          <w:rStyle w:val="Fontepargpadro1"/>
          <w:rFonts w:hint="eastAsia"/>
          <w:b/>
          <w:bCs/>
          <w:color w:val="000000"/>
        </w:rPr>
        <w:t>NCER DE COLO UTERINO</w:t>
      </w:r>
    </w:p>
    <w:p w14:paraId="697BF0A8" w14:textId="77777777" w:rsidR="00930C06" w:rsidRDefault="00930C06">
      <w:pPr>
        <w:pStyle w:val="LO-Normal"/>
        <w:widowControl w:val="0"/>
        <w:spacing w:before="57" w:after="57" w:line="240" w:lineRule="auto"/>
        <w:jc w:val="center"/>
      </w:pPr>
    </w:p>
    <w:p w14:paraId="697BF0A9" w14:textId="21504DCD" w:rsidR="00930C06" w:rsidRPr="007F3B53" w:rsidRDefault="007F3B53">
      <w:pPr>
        <w:pStyle w:val="LO-Normal"/>
        <w:widowControl w:val="0"/>
        <w:spacing w:before="57" w:after="57"/>
        <w:jc w:val="center"/>
        <w:rPr>
          <w:vertAlign w:val="superscript"/>
        </w:rPr>
      </w:pPr>
      <w:r>
        <w:rPr>
          <w:rStyle w:val="Fontepargpadro1"/>
          <w:b/>
          <w:color w:val="000000"/>
        </w:rPr>
        <w:t>PAULA CAMARA LIMA FARIA</w:t>
      </w:r>
      <w:r w:rsidR="00BD29CC">
        <w:rPr>
          <w:rStyle w:val="Fontepargpadro1"/>
          <w:b/>
          <w:color w:val="000000"/>
          <w:vertAlign w:val="superscript"/>
        </w:rPr>
        <w:footnoteReference w:id="1"/>
      </w:r>
      <w:r w:rsidR="00BD29CC">
        <w:rPr>
          <w:rStyle w:val="Fontepargpadro1"/>
          <w:b/>
          <w:color w:val="000000"/>
          <w:vertAlign w:val="superscript"/>
        </w:rPr>
        <w:t>,</w:t>
      </w:r>
      <w:r w:rsidR="00BD29CC">
        <w:rPr>
          <w:rStyle w:val="Fontepargpadro1"/>
          <w:b/>
          <w:color w:val="000000"/>
          <w:vertAlign w:val="superscript"/>
        </w:rPr>
        <w:footnoteReference w:id="2"/>
      </w:r>
      <w:r w:rsidR="00BD29CC">
        <w:rPr>
          <w:rStyle w:val="Fontepargpadro1"/>
          <w:b/>
          <w:color w:val="000000"/>
          <w:position w:val="1"/>
        </w:rPr>
        <w:t>*</w:t>
      </w:r>
      <w:r w:rsidR="00BD29CC">
        <w:rPr>
          <w:rStyle w:val="Fontepargpadro1"/>
          <w:b/>
          <w:color w:val="000000"/>
        </w:rPr>
        <w:t xml:space="preserve">, </w:t>
      </w:r>
      <w:r>
        <w:rPr>
          <w:rStyle w:val="Fontepargpadro1"/>
          <w:b/>
          <w:color w:val="000000"/>
        </w:rPr>
        <w:t xml:space="preserve">GABRIELA PALÚ </w:t>
      </w:r>
      <w:r w:rsidR="00BD29CC" w:rsidRPr="007F3B53">
        <w:rPr>
          <w:rStyle w:val="Fontepargpadro1"/>
          <w:b/>
          <w:color w:val="000000"/>
          <w:vertAlign w:val="superscript"/>
        </w:rPr>
        <w:footnoteReference w:id="3"/>
      </w:r>
      <w:r w:rsidR="00BD29CC" w:rsidRPr="007F3B53">
        <w:rPr>
          <w:rStyle w:val="Fontepargpadro1"/>
          <w:b/>
          <w:color w:val="000000"/>
        </w:rPr>
        <w:t xml:space="preserve">, </w:t>
      </w:r>
      <w:r>
        <w:rPr>
          <w:rStyle w:val="Fontepargpadro1"/>
          <w:b/>
          <w:color w:val="000000"/>
        </w:rPr>
        <w:t>ANDRÉIA MACHADO CARDOSO</w:t>
      </w:r>
      <w:r w:rsidR="00BD29CC">
        <w:rPr>
          <w:rStyle w:val="Fontepargpadro1"/>
          <w:b/>
          <w:color w:val="000000"/>
          <w:vertAlign w:val="superscript"/>
        </w:rPr>
        <w:t>2</w:t>
      </w:r>
      <w:r w:rsidR="00BD29CC" w:rsidRPr="007F3B53">
        <w:rPr>
          <w:rStyle w:val="Fontepargpadro1"/>
          <w:b/>
          <w:color w:val="000000"/>
          <w:vertAlign w:val="superscript"/>
        </w:rPr>
        <w:t>,</w:t>
      </w:r>
      <w:r w:rsidR="00BD29CC" w:rsidRPr="007F3B53">
        <w:rPr>
          <w:rStyle w:val="Fontepargpadro1"/>
          <w:b/>
          <w:color w:val="000000"/>
          <w:vertAlign w:val="superscript"/>
        </w:rPr>
        <w:footnoteReference w:id="4"/>
      </w:r>
    </w:p>
    <w:p w14:paraId="697BF0AA" w14:textId="77777777" w:rsidR="00930C06" w:rsidRDefault="00930C06">
      <w:pPr>
        <w:pStyle w:val="LO-Normal"/>
        <w:widowControl w:val="0"/>
        <w:spacing w:before="0" w:after="0"/>
      </w:pPr>
    </w:p>
    <w:p w14:paraId="697BF0AB" w14:textId="77777777" w:rsidR="00930C06" w:rsidRDefault="00BD29CC">
      <w:pPr>
        <w:pStyle w:val="LO-Normal"/>
        <w:widowControl w:val="0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1 Introdução</w:t>
      </w:r>
    </w:p>
    <w:p w14:paraId="42654946" w14:textId="77777777" w:rsidR="00740CA5" w:rsidRDefault="00740CA5" w:rsidP="00740CA5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>O câncer de colo de útero (CCU) caracteriza-se como o quarto tipo de câncer com maior incidência na população mundial do sexo feminino. Já no cenário Brasileiro o CCU apresentou 18.715 novos casos no ano de 2022, com mortalidade de 9.905 em números absolutos no mesmo ano (GLOBOCAN, 2024).</w:t>
      </w:r>
    </w:p>
    <w:p w14:paraId="42B8E915" w14:textId="77777777" w:rsidR="00740CA5" w:rsidRDefault="00740CA5" w:rsidP="00740CA5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>O CCU tem como fator etiológico a infecção persistente de um dos tipos carcinogênicos do papilomavírus humano (HPV) (FRANCIOSI et al., 2022). Nesse tipo de câncer, a constante infecção pelo HPV pode gerar lesões intraepiteliais escamosas de alto grau (HSIL). As HSIL são definidas como lesões pré-cancerígenas, ou seja, com potencial para tornar-se um câncer invasivo (SENAPATI; DWIBEDI, 2016).</w:t>
      </w:r>
    </w:p>
    <w:p w14:paraId="4AD29EA0" w14:textId="77777777" w:rsidR="00740CA5" w:rsidRDefault="00740CA5" w:rsidP="00740CA5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>É sabido que o desenvolvimento de diferentes tipos de neoplasias envolve um estado inflamatório crônico e intenso (FRANCIOSI et al., 2022). O microambiente do CCU tem concentrações elevadas de ATP e adenosina que ativam cascatas imunológicas e inflamatórias (FRANCIOSI et al., 2022). O ATP, além de agir como um padrão molecular associado ao dano (DAMP), atua também em receptores presentes nas células imunes, especialmente o P2X7 e o A2A (PFAFFENZELLER; FRANCIOSI; CARDOSO, 2020). Estimulando assim, a liberação de citocinas pró-inflamatórios como TNF-α e IFN-ɣ (FRANCIOSI et al., 2022). Tais citocinas têm tanto ação imunológica antitumoral, quanto incitam a angiogênese, o crescimento celular e a metástase (HU et al., 2015; ZUO et al., 2011). </w:t>
      </w:r>
    </w:p>
    <w:p w14:paraId="0D1C2B5B" w14:textId="77777777" w:rsidR="00740CA5" w:rsidRDefault="00740CA5" w:rsidP="00740CA5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lastRenderedPageBreak/>
        <w:t>Todavia, o ATP também desencadeia a imunossupressão pelo acúmulo de adenosina. Esta, por sua vez, estimula a produção de citocinas imunossupressoras como IL-10 e IL-4, permitindo a progressão tumoral (CONTICELLO et al., 2004; DI VIRGILIO et al., 2018; FRANCIOSI et al., 2022). </w:t>
      </w:r>
    </w:p>
    <w:p w14:paraId="0CB803A0" w14:textId="77777777" w:rsidR="00740CA5" w:rsidRDefault="00740CA5" w:rsidP="00740CA5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>Sendo assim, é importante compreender a forte relação entre sinalização purinérgica e perfil inflamatório no desenvolvimento e progressão do CCU.</w:t>
      </w:r>
    </w:p>
    <w:p w14:paraId="697BF0AC" w14:textId="77777777" w:rsidR="00930C06" w:rsidRDefault="00BD29CC">
      <w:pPr>
        <w:pStyle w:val="LO-Normal"/>
        <w:widowControl w:val="0"/>
        <w:spacing w:before="0" w:after="0"/>
        <w:rPr>
          <w:rStyle w:val="Fontepargpadro1"/>
          <w:b/>
          <w:bCs/>
          <w:color w:val="000000"/>
        </w:rPr>
      </w:pPr>
      <w:r>
        <w:rPr>
          <w:rStyle w:val="Fontepargpadro1"/>
          <w:b/>
          <w:bCs/>
          <w:color w:val="000000"/>
        </w:rPr>
        <w:t>2 Objetivos</w:t>
      </w:r>
    </w:p>
    <w:p w14:paraId="5019A173" w14:textId="5D61D8A6" w:rsidR="007F3B53" w:rsidRDefault="007F3B53" w:rsidP="007F3B53">
      <w:pPr>
        <w:pStyle w:val="LO-Normal"/>
        <w:widowControl w:val="0"/>
        <w:ind w:firstLine="851"/>
      </w:pPr>
      <w:r w:rsidRPr="007F3B53">
        <w:t>Analisar a atividade e expressão de componentes do sistema purinérgico, os níveis séricos de ATP e citocinas em pacientes com diagnóstico de CCU e em indivíduos controle.</w:t>
      </w:r>
    </w:p>
    <w:p w14:paraId="697BF0AD" w14:textId="77777777" w:rsidR="00930C06" w:rsidRDefault="00BD29CC">
      <w:pPr>
        <w:pStyle w:val="LO-Normal"/>
        <w:widowControl w:val="0"/>
        <w:spacing w:before="0" w:after="0"/>
        <w:rPr>
          <w:rStyle w:val="Fontepargpadro1"/>
          <w:b/>
          <w:bCs/>
          <w:color w:val="000000"/>
        </w:rPr>
      </w:pPr>
      <w:r>
        <w:rPr>
          <w:rStyle w:val="Fontepargpadro1"/>
          <w:b/>
          <w:bCs/>
          <w:color w:val="000000"/>
        </w:rPr>
        <w:t>3 Metodologia</w:t>
      </w:r>
    </w:p>
    <w:p w14:paraId="07B9EA0D" w14:textId="77777777" w:rsidR="00830DC6" w:rsidRDefault="00830DC6" w:rsidP="00830DC6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>A pesquisa caracteriza-se por um estudo experimental quantitativo. Foram incluídas no estudo 38 pacientes voluntárias entre 18 e 65 anos, com resultado de exame citopatológico de HSIL, e que não realizaram tratamento prévio. O grupo controle foi composto de 38 voluntárias saudáveis na mesma faixa etária. Todos os procedimentos realizados durante a pesquisa foram aprovados pelo Comitê de Ética em Pesquisa (CEP) da UFFS, sob parecer número 3.333.426.</w:t>
      </w:r>
    </w:p>
    <w:p w14:paraId="02549C10" w14:textId="77777777" w:rsidR="00830DC6" w:rsidRDefault="00830DC6" w:rsidP="00830DC6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 xml:space="preserve">Ambos os grupos foram submetidos à coleta única de sangue periférico, para analisar a expressão gênica e a atividade das enzimas NTPDase (CD39), </w:t>
      </w:r>
      <w:r>
        <w:t>Ecto-5’-nucleotidase (CD73)</w:t>
      </w:r>
      <w:r>
        <w:rPr>
          <w:color w:val="000000"/>
        </w:rPr>
        <w:t xml:space="preserve"> e adenosina</w:t>
      </w:r>
      <w:r>
        <w:t xml:space="preserve"> deaminase (ADA) e o receptor purinérgico P2X7;</w:t>
      </w:r>
      <w:r>
        <w:rPr>
          <w:color w:val="000000"/>
        </w:rPr>
        <w:t xml:space="preserve"> e os níveis séricos de ATP e das citocinas </w:t>
      </w:r>
      <w:r w:rsidRPr="008547D3">
        <w:t>IFN-ɣ, IL-4, IL-10, IL-2, IL-6 e TNF-α</w:t>
      </w:r>
      <w:r>
        <w:rPr>
          <w:color w:val="000000"/>
        </w:rPr>
        <w:t>. Após a realização dos experimentos, os dados foram avaliados estatisticamente pela realização do teste de Shapiro-Wilk e Teste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t não pareado. O nível de significância utilizado foi de p&lt;0,05 em todas as análises. O programa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utilizado foi o GraphPad® Prism 8.1.</w:t>
      </w:r>
    </w:p>
    <w:p w14:paraId="697BF0AE" w14:textId="77777777" w:rsidR="00930C06" w:rsidRDefault="00BD29CC">
      <w:pPr>
        <w:pStyle w:val="LO-Normal"/>
        <w:widowControl w:val="0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4 Resultados e Discussão</w:t>
      </w:r>
    </w:p>
    <w:p w14:paraId="636692D0" w14:textId="77777777" w:rsidR="007F3B53" w:rsidRDefault="007F3B53" w:rsidP="007F3B53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>Os resultados do estudo estão compilados na Tabela 01.</w:t>
      </w:r>
    </w:p>
    <w:p w14:paraId="711B15D8" w14:textId="2E24B6F9" w:rsidR="007F3B53" w:rsidRDefault="007F3B53" w:rsidP="007F3B53">
      <w:pPr>
        <w:pStyle w:val="NormalWeb"/>
        <w:spacing w:before="0" w:beforeAutospacing="0" w:after="0" w:afterAutospacing="0" w:line="360" w:lineRule="auto"/>
        <w:ind w:firstLine="850"/>
        <w:jc w:val="center"/>
      </w:pPr>
      <w:r>
        <w:rPr>
          <w:color w:val="000000"/>
        </w:rPr>
        <w:t xml:space="preserve">Tabela 01 - </w:t>
      </w:r>
      <w:r w:rsidR="001011D3">
        <w:rPr>
          <w:color w:val="000000"/>
        </w:rPr>
        <w:t>Resultados das análises laboratoriais realizadas</w:t>
      </w:r>
    </w:p>
    <w:p w14:paraId="3721E8F8" w14:textId="1644EE68" w:rsidR="007F3B53" w:rsidRDefault="007F10F3" w:rsidP="00896158">
      <w:pPr>
        <w:pStyle w:val="NormalWeb"/>
        <w:spacing w:before="0" w:beforeAutospacing="0" w:after="0" w:afterAutospacing="0" w:line="360" w:lineRule="auto"/>
        <w:ind w:firstLine="1560"/>
        <w:jc w:val="both"/>
      </w:pPr>
      <w:r>
        <w:rPr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6D7AB9EF" wp14:editId="7AA4D152">
            <wp:extent cx="4038600" cy="3587378"/>
            <wp:effectExtent l="0" t="0" r="0" b="0"/>
            <wp:docPr id="2" name="Imagem 1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Tela de computador com 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558" cy="358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39944" w14:textId="77777777" w:rsidR="00F92B81" w:rsidRDefault="00F92B81" w:rsidP="00F92B81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>Acerca da atividade enzimática e níveis de ATP, foi observado um aumento estatisticamente significativo nos níveis de ATP e na atividade e expressão da enzima CD39, importante enzima do sistema purinérgico responsável pela hidrólise do ATP e ADP, utilizando tanto ATP quanto ADP como substrato em mulheres com HSIL em relação às mulheres saudáveis. Como a principal função da CD39 é hidrolisar o ATP, é possível correlacionar sua atividade aumentada com uma maior concentração de ATP. Paralelo a isso, a expressão aumentada dessa enzima é estimulada em resposta ao processo inflamatório, como o que ocorre no microambiente do CCU (DI VIRGILIO et al., 2018). Associado a isso, diversos estudos foram feitos relacionando o aumento da atividade da NTPDase ao desenvolvimento de diversos tipos de câncer (BAGHBANI et al., 2021). </w:t>
      </w:r>
    </w:p>
    <w:p w14:paraId="685B932D" w14:textId="77777777" w:rsidR="00F92B81" w:rsidRDefault="00F92B81" w:rsidP="00F92B81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 xml:space="preserve">Em relação a enzima ADA, foi encontrado um aumento da sua atividade no grupo de pacientes em comparação ao grupo controle. A ADA realiza importante papel na regulação dos níveis de adenosina, que é um nucleosídeo responsável pelo aumento de diversas citocinas, como a IL-10, levando à inibição da resposta imune antitumoral (PFAFFENZELLER; FRANCIOSI; CARDOSO, 2020). Ademais, é possível relacionar a atividade da ADA aumentada com uma alta concentração de adenosina no microambiente tumoral, uma vez que a adenosina é o substrato desta enzima, e sua produção é decorrente da hidrólise do ATP. A pesquisa de Maldonado e colaboradores (2008) demonstrou que a atividade da ADA diminuiu em mulheres que </w:t>
      </w:r>
      <w:r>
        <w:rPr>
          <w:color w:val="000000"/>
        </w:rPr>
        <w:lastRenderedPageBreak/>
        <w:t xml:space="preserve">foram tratadas para infecção pelo HPV, devido ao menor acúmulo de adenosina, consequência da diminuição da inflamação e hidrolise de ATP. </w:t>
      </w:r>
    </w:p>
    <w:p w14:paraId="1C2A1E82" w14:textId="77777777" w:rsidR="00F92B81" w:rsidRDefault="00F92B81" w:rsidP="00F92B81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>Em relação a expressão gênica da enzima CD73, não foi observada uma diferença estatisticamente significativa entre os grupos. Já sobre a expressão gênica do receptor P2X7, foi encontrado uma expressão aumentada em mulheres com HSIL quando comparado com o grupo controle. Tal resultado é consonante com os outros resultados encontrados neste estudo, visto que o ATP é a principal molécula ativadora desse receptor (FRANCIOSI et al., 2022). Além disso, a ativação do P2X7 leva ao aumento da inflamação no microambiente tumoral e angiogênese, favorecendo a progressão tumoral (FRANCIOSI et al., 2022).</w:t>
      </w:r>
    </w:p>
    <w:p w14:paraId="16E1300E" w14:textId="77777777" w:rsidR="00F92B81" w:rsidRDefault="00F92B81" w:rsidP="00F92B81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>Acerca dos níveis de citocinas, os resultados encontrados para IL-2 e IL-6 não foram estatisticamente significativos. Sobre o IFN-ɣ, TNF-α, IL-4 e IL-10, seus níveis estavam aumentados em mulheres com HSIL, quando comparadas ao grupo controle. O IFN-ɣ e TNF-α são citocinas com uma ação pró-inflamatória. Ambas são produzidas por células Th1, macrófagos e células NK (FRANCIOSI et al., 2022). Tal fato se correlaciona de maneira positiva com os níveis de ATP aumentado encontrado nesta pesquisa, visto que o ATP ativa essas células imunes e estimula a secreção de tais citocinas. Corroborando esses achados, os estudos de Furuta et al. (2023) e Shieh et al. (2014) observaram um aumento destas citocinas quando células imunes eram estimuladas com ATP.</w:t>
      </w:r>
      <w:r>
        <w:t xml:space="preserve"> </w:t>
      </w:r>
      <w:r>
        <w:rPr>
          <w:color w:val="000000"/>
        </w:rPr>
        <w:t xml:space="preserve">Associado a isso, diversos estudos demonstraram que com o desenvolvimento da HSIL e sua progressão tanto o IFN-ɣ quanto o </w:t>
      </w:r>
      <w:r>
        <w:rPr>
          <w:color w:val="000000"/>
          <w:lang w:bidi="hi-IN"/>
        </w:rPr>
        <w:t>TNF-α</w:t>
      </w:r>
      <w:r>
        <w:rPr>
          <w:color w:val="000000"/>
        </w:rPr>
        <w:t xml:space="preserve"> promovem o estímulo a metástase e crescimento celular descontrolado favorecendo o desenvolvimento do CCU (</w:t>
      </w:r>
      <w:r>
        <w:rPr>
          <w:color w:val="000000"/>
          <w:lang w:bidi="hi-IN"/>
        </w:rPr>
        <w:t>HU et al., 2015; ZUO et al., 2011).</w:t>
      </w:r>
    </w:p>
    <w:p w14:paraId="2E18A14E" w14:textId="3DBAF040" w:rsidR="00C13A7F" w:rsidRDefault="00F92B81" w:rsidP="00F92B81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>A IL-4 e IL-10 são citocinas capazes de promover imunossupressão, inibir a apoptose e a resposta imune antitumoral (CONTICELLO et al., 2004). O aumento na concentração dessas citocinas se deve aos maiores níveis de adenosina e ATP, uma vez que estes favorecem a ativação de células imunes (LA SALA et al., 2001). Paralelo a isso, a IL-10 regula negativamente o sistema antígenos leucocitários humano de classe I (HLAI), que inibe a resposta imune antitumoral, permitindo uma evasão imunológica tumoral e consequentemente a progressão do CCU (PFAFFENZELLER; FRANCIOSI; CARDOSO, 2020).</w:t>
      </w:r>
    </w:p>
    <w:p w14:paraId="697BF0AF" w14:textId="77777777" w:rsidR="00930C06" w:rsidRDefault="00BD29CC">
      <w:pPr>
        <w:pStyle w:val="LO-Normal"/>
        <w:widowControl w:val="0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5 Conclusão</w:t>
      </w:r>
    </w:p>
    <w:p w14:paraId="55E325B3" w14:textId="77777777" w:rsidR="0044426D" w:rsidRPr="007F3B53" w:rsidRDefault="0044426D" w:rsidP="0044426D">
      <w:pPr>
        <w:pStyle w:val="NormalWeb"/>
        <w:spacing w:before="0" w:beforeAutospacing="0" w:after="0" w:afterAutospacing="0" w:line="360" w:lineRule="auto"/>
        <w:ind w:firstLine="850"/>
        <w:jc w:val="both"/>
      </w:pPr>
      <w:r>
        <w:rPr>
          <w:color w:val="000000"/>
        </w:rPr>
        <w:t xml:space="preserve">Foi visto que o aumento dos níveis de ATP está positivamente relacionado com a maior atividade e expressão da NTPDase, o que leva a uma concentração elevada de adenosina e contribui para a atividade aumentada da ADA. O ATP, através do P2X7, também estimula a </w:t>
      </w:r>
      <w:r>
        <w:rPr>
          <w:color w:val="000000"/>
        </w:rPr>
        <w:lastRenderedPageBreak/>
        <w:t>liberação de citocinas pró-inflamatórias, que, embora favoreçam uma resposta imune antitumoral, criam um ambiente inflamatório crônico propício ao desenvolvimento e progressão da lesão. Além disso, a adenosina está associada à liberação de IL-10 e IL-4 e à inibição de respostas imunes antitumorais. Conclui-se que a forte relação entre a sinalização purinérgica e o perfil inflamatório em mulheres com HSIL impacta significativamente o desenvolvimento e progressão do câncer de colo de útero.</w:t>
      </w:r>
    </w:p>
    <w:p w14:paraId="697BF0B0" w14:textId="77777777" w:rsidR="00930C06" w:rsidRDefault="00BD29CC">
      <w:pPr>
        <w:pStyle w:val="LO-Normal"/>
        <w:widowControl w:val="0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Referências Bibliográficas</w:t>
      </w:r>
    </w:p>
    <w:p w14:paraId="1531E9D6" w14:textId="77777777" w:rsidR="00832DF1" w:rsidRPr="00EF22FD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t-BR" w:bidi="ar-SA"/>
        </w:rPr>
      </w:pPr>
      <w:r w:rsidRPr="007F3B5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ACOSTA MALDONADO, P. et al. 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Ectonucleotide pyrophosphatase/phosphodiesterase (E-NPP) and adenosine deaminase (ADA) activities in patients with uterine cervix neoplasia. </w:t>
      </w:r>
      <w:r w:rsidRPr="00EF22F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 w:bidi="ar-SA"/>
        </w:rPr>
        <w:t>Clinical Biochemistry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, v. 41, n. 6, p. 400–406, abr. 2008. </w:t>
      </w:r>
    </w:p>
    <w:p w14:paraId="36E46D24" w14:textId="77777777" w:rsidR="00832DF1" w:rsidRPr="00EF22FD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t-BR" w:bidi="ar-SA"/>
        </w:rPr>
      </w:pP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BAGHBANI, E. et al. Regulation of immune responses through CD39 and CD73 in cancer: Novel checkpoints.</w:t>
      </w:r>
      <w:r w:rsidRPr="00EF22F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 w:bidi="ar-SA"/>
        </w:rPr>
        <w:t xml:space="preserve"> Life Sciences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, v. 282, p. 119826, 1 out. 2021.  </w:t>
      </w:r>
    </w:p>
    <w:p w14:paraId="743BD2F8" w14:textId="77777777" w:rsidR="00832DF1" w:rsidRPr="00EF22FD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t-BR" w:bidi="ar-SA"/>
        </w:rPr>
      </w:pPr>
      <w:r w:rsidRPr="00EF22F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 w:bidi="ar-SA"/>
        </w:rPr>
        <w:t>Cancer Today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. Disponível em: &lt;https://gco.iarc.who.int/today/&gt;. </w:t>
      </w:r>
    </w:p>
    <w:p w14:paraId="36196C94" w14:textId="77777777" w:rsidR="00832DF1" w:rsidRPr="00EF22FD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t-BR" w:bidi="ar-SA"/>
        </w:rPr>
      </w:pP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CONTICELLO, C. et al. IL-4 Protects Tumor Cells from Anti-CD95 and Chemotherapeutic Agents via Up-Regulation of Antiapoptotic Proteins1. </w:t>
      </w:r>
      <w:r w:rsidRPr="00EF22F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 w:bidi="ar-SA"/>
        </w:rPr>
        <w:t>The Journal of Immunology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, v. 172, n. 9, p. 5467–5477, 1 maio 2004. </w:t>
      </w:r>
    </w:p>
    <w:p w14:paraId="0867469B" w14:textId="77777777" w:rsidR="00832DF1" w:rsidRPr="00EF22FD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t-BR" w:bidi="ar-SA"/>
        </w:rPr>
      </w:pP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DI VIRGILIO, F. et al. Extracellular ATP and P2 purinergic signalling in the tumour microenvironment. </w:t>
      </w:r>
      <w:r w:rsidRPr="00EF22F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 w:bidi="ar-SA"/>
        </w:rPr>
        <w:t>Nature Reviews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. Cancer, v. 18, n. 10, p. 601–618, out. 2018. </w:t>
      </w:r>
    </w:p>
    <w:p w14:paraId="7D0C5DCE" w14:textId="77777777" w:rsidR="00832DF1" w:rsidRPr="00EF22FD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t-BR" w:bidi="ar-SA"/>
        </w:rPr>
      </w:pP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FRANCIOSI, M. L. M. et al. Inflammatory profile in cervical cancer: influence of purinergic signaling and possible therapeutic targets. </w:t>
      </w:r>
      <w:r w:rsidRPr="00EF22F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 w:bidi="ar-SA"/>
        </w:rPr>
        <w:t>Inflammation Research: Official Journal of the European Histamine Research Society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 ... [et Al.], v. 71, n. 5–6, p. 555–564, jun. 2022. </w:t>
      </w:r>
    </w:p>
    <w:p w14:paraId="5E779C33" w14:textId="77777777" w:rsidR="00832DF1" w:rsidRPr="00EF22FD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t-BR" w:bidi="ar-SA"/>
        </w:rPr>
      </w:pP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FURUTA, K. et al. ATP and its metabolite adenosine cooperatively upregulate the antigen-presenting molecules on dendritic cells leading to IFN-</w:t>
      </w:r>
      <w:r w:rsidRPr="007F3B5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γ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 production by T cells. </w:t>
      </w:r>
      <w:r w:rsidRPr="00EF22F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 w:bidi="ar-SA"/>
        </w:rPr>
        <w:t>The Journal of Biological Chemistry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, v. 299, n. 4, p. 104587, 6 mar. 2023. </w:t>
      </w:r>
    </w:p>
    <w:p w14:paraId="2DB02DD1" w14:textId="77777777" w:rsidR="00832DF1" w:rsidRPr="00EF22FD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t-BR" w:bidi="ar-SA"/>
        </w:rPr>
      </w:pP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HU, T. et al. Accumulation of invariant NKT cells with increased IFN-</w:t>
      </w:r>
      <w:r w:rsidRPr="007F3B5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γ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 production in persistent high-risk HPV-infected high-grade cervical intraepithelial neoplasia. </w:t>
      </w:r>
      <w:r w:rsidRPr="00EF22F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 w:bidi="ar-SA"/>
        </w:rPr>
        <w:t>Diagnostic Pathology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, v. 10, p. 20, 2 abr. 2015. </w:t>
      </w:r>
    </w:p>
    <w:p w14:paraId="5ADA63DF" w14:textId="77777777" w:rsidR="00832DF1" w:rsidRPr="007F3B53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LA SALA, A. et al. Extracellular ATP Induces a Distorted Maturation of Dendritic Cells and Inhibits Their Capacity to Initiate Th1 Responses1. </w:t>
      </w:r>
      <w:r w:rsidRPr="007F3B5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The Journal of Immunology</w:t>
      </w:r>
      <w:r w:rsidRPr="007F3B5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, v. 166, n. 3, p. 1611–1617, 1 fev. 2001. </w:t>
      </w:r>
    </w:p>
    <w:p w14:paraId="07363DA7" w14:textId="77777777" w:rsidR="00832DF1" w:rsidRPr="00EF22FD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t-BR" w:bidi="ar-SA"/>
        </w:rPr>
      </w:pPr>
      <w:r w:rsidRPr="00C70869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PFAFFENZELLER, M. S.; FRANCIOSI, M. L. M.; CARDOSO, A. M. Purinergic signaling and tumor microenvironment in cervical Cancer. </w:t>
      </w:r>
      <w:r w:rsidRPr="00EF22F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 w:bidi="ar-SA"/>
        </w:rPr>
        <w:t>Purinergic Signalling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, v. 16, n. 1, p. 123–135, mar. 2020. </w:t>
      </w:r>
    </w:p>
    <w:p w14:paraId="46E7E8C3" w14:textId="77777777" w:rsidR="00832DF1" w:rsidRPr="00EF22FD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t-BR" w:bidi="ar-SA"/>
        </w:rPr>
      </w:pP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SENAPATI, R.; SENAPATI, N. N.; DWIBEDI, B. Molecular mechanisms of HPV mediated neoplastic progression. </w:t>
      </w:r>
      <w:r w:rsidRPr="00EF22F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 w:bidi="ar-SA"/>
        </w:rPr>
        <w:t>Infectious Agents and Cancer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, v. 11, p. 59, 25 nov. 2016.</w:t>
      </w:r>
    </w:p>
    <w:p w14:paraId="49D96A6A" w14:textId="77777777" w:rsidR="00832DF1" w:rsidRPr="00EF22FD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t-BR" w:bidi="ar-SA"/>
        </w:rPr>
      </w:pP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SHIEH, C.-H. et al. P2X7-dependent, but differentially regulated release of IL-6, CCL2, and TNF-</w:t>
      </w:r>
      <w:r w:rsidRPr="007F3B5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α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 in cultured mouse microglia. </w:t>
      </w:r>
      <w:r w:rsidRPr="00EF22F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 w:bidi="ar-SA"/>
        </w:rPr>
        <w:t>Glia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, v. 62, n. 4, p. 592–607, abr. 2014.</w:t>
      </w:r>
    </w:p>
    <w:p w14:paraId="34D43BBA" w14:textId="77777777" w:rsidR="00832DF1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>ZUO, F. et al. Association of TNF-</w:t>
      </w:r>
      <w:r w:rsidRPr="007F3B5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α</w:t>
      </w:r>
      <w:r w:rsidRPr="00EF22FD">
        <w:rPr>
          <w:rFonts w:ascii="Times New Roman" w:eastAsia="Times New Roman" w:hAnsi="Times New Roman" w:cs="Times New Roman"/>
          <w:color w:val="000000"/>
          <w:kern w:val="0"/>
          <w:lang w:val="en-US" w:eastAsia="pt-BR" w:bidi="ar-SA"/>
        </w:rPr>
        <w:t xml:space="preserve"> Gene Promoter Polymorphisms with Susceptibility of Cervical Cancer in Southwest China. </w:t>
      </w:r>
      <w:r w:rsidRPr="007F3B5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Laboratory Medicine</w:t>
      </w:r>
      <w:r w:rsidRPr="007F3B5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, v. 42, n. 5, p. 287–290, 1 maio 2011</w:t>
      </w:r>
    </w:p>
    <w:p w14:paraId="4D041288" w14:textId="77777777" w:rsidR="00832DF1" w:rsidRPr="007F3B53" w:rsidRDefault="00832DF1" w:rsidP="00832DF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3047BB95" w14:textId="77777777" w:rsidR="00832DF1" w:rsidRDefault="00832DF1" w:rsidP="00832DF1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7F3B5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Palavras-chave</w:t>
      </w:r>
      <w:r w:rsidRPr="007F3B5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: HPV, câncer de colo uterino, inflamação, sistema purinérgico</w:t>
      </w:r>
    </w:p>
    <w:p w14:paraId="4AF4043E" w14:textId="77777777" w:rsidR="00832DF1" w:rsidRPr="007F3B53" w:rsidRDefault="00832DF1" w:rsidP="00832DF1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7F3B5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Nº de Registro no sistema Prisma:</w:t>
      </w:r>
      <w:r w:rsidRPr="007F3B5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PES-2023-0441 </w:t>
      </w:r>
    </w:p>
    <w:p w14:paraId="697BF0D3" w14:textId="0520F963" w:rsidR="00930C06" w:rsidRPr="00AA1DA0" w:rsidRDefault="00832DF1" w:rsidP="00832DF1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7F3B5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Financiamento: </w:t>
      </w:r>
      <w:r w:rsidRPr="007F3B5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CNPq</w:t>
      </w:r>
    </w:p>
    <w:sectPr w:rsidR="00930C06" w:rsidRPr="00AA1DA0">
      <w:headerReference w:type="default" r:id="rId8"/>
      <w:pgSz w:w="11906" w:h="16838"/>
      <w:pgMar w:top="2268" w:right="1134" w:bottom="1134" w:left="1701" w:header="17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30F70" w14:textId="77777777" w:rsidR="00B91EBB" w:rsidRDefault="00B91EBB">
      <w:pPr>
        <w:rPr>
          <w:rFonts w:hint="eastAsia"/>
        </w:rPr>
      </w:pPr>
      <w:r>
        <w:separator/>
      </w:r>
    </w:p>
  </w:endnote>
  <w:endnote w:type="continuationSeparator" w:id="0">
    <w:p w14:paraId="16611B80" w14:textId="77777777" w:rsidR="00B91EBB" w:rsidRDefault="00B91E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SimSu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018E1" w14:textId="77777777" w:rsidR="00B91EBB" w:rsidRDefault="00B91EB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857F27" w14:textId="77777777" w:rsidR="00B91EBB" w:rsidRDefault="00B91EBB">
      <w:pPr>
        <w:rPr>
          <w:rFonts w:hint="eastAsia"/>
        </w:rPr>
      </w:pPr>
      <w:r>
        <w:continuationSeparator/>
      </w:r>
    </w:p>
  </w:footnote>
  <w:footnote w:id="1">
    <w:p w14:paraId="697BF0A8" w14:textId="28643842" w:rsidR="00930C06" w:rsidRDefault="00BD29CC">
      <w:pPr>
        <w:pStyle w:val="Textodenotaderodap"/>
        <w:jc w:val="both"/>
        <w:rPr>
          <w:rFonts w:hint="eastAsia"/>
        </w:rPr>
      </w:pPr>
      <w:r>
        <w:rPr>
          <w:rStyle w:val="Refdenotaderodap"/>
        </w:rPr>
        <w:footnoteRef/>
      </w:r>
      <w:bookmarkStart w:id="0" w:name="_Hlk144049203"/>
      <w:r w:rsidRPr="00F2645D">
        <w:rPr>
          <w:rStyle w:val="Fontepargpadro1"/>
          <w:rFonts w:ascii="Times New Roman" w:eastAsia="Times New Roman" w:hAnsi="Times New Roman" w:cs="Times New Roman"/>
          <w:lang w:bidi="ar-SA"/>
        </w:rPr>
        <w:t>A</w:t>
      </w:r>
      <w:r w:rsidRPr="00F2645D">
        <w:rPr>
          <w:rStyle w:val="Fontepargpadro1"/>
          <w:rFonts w:ascii="Times New Roman" w:eastAsia="Times New Roman" w:hAnsi="Times New Roman" w:cs="Times New Roman" w:hint="eastAsia"/>
          <w:lang w:bidi="ar-SA"/>
        </w:rPr>
        <w:t xml:space="preserve">cadêmica de Medicina, Universidade Federal da Fronteira Sul, </w:t>
      </w:r>
      <w:r w:rsidRPr="00BD29CC">
        <w:rPr>
          <w:rStyle w:val="Fontepargpadro1"/>
          <w:rFonts w:ascii="Times New Roman" w:eastAsia="Times New Roman" w:hAnsi="Times New Roman" w:cs="Times New Roman" w:hint="eastAsia"/>
          <w:i/>
          <w:iCs/>
          <w:lang w:bidi="ar-SA"/>
        </w:rPr>
        <w:t>campus</w:t>
      </w:r>
      <w:r w:rsidRPr="00F2645D">
        <w:rPr>
          <w:rStyle w:val="Fontepargpadro1"/>
          <w:rFonts w:ascii="Times New Roman" w:eastAsia="Times New Roman" w:hAnsi="Times New Roman" w:cs="Times New Roman" w:hint="eastAsia"/>
          <w:lang w:bidi="ar-SA"/>
        </w:rPr>
        <w:t xml:space="preserve"> Chapecó</w:t>
      </w:r>
      <w:bookmarkEnd w:id="0"/>
      <w:r w:rsidRPr="00F2645D">
        <w:rPr>
          <w:rStyle w:val="Fontepargpadro1"/>
          <w:rFonts w:ascii="Times New Roman" w:eastAsia="Times New Roman" w:hAnsi="Times New Roman" w:cs="Times New Roman" w:hint="eastAsia"/>
          <w:lang w:bidi="ar-SA"/>
        </w:rPr>
        <w:t>, contato:</w:t>
      </w:r>
      <w:r w:rsidRPr="00F2645D">
        <w:rPr>
          <w:rStyle w:val="Fontepargpadro1"/>
          <w:rFonts w:ascii="Times New Roman" w:eastAsia="Times New Roman" w:hAnsi="Times New Roman" w:cs="Times New Roman"/>
          <w:lang w:bidi="ar-SA"/>
        </w:rPr>
        <w:t xml:space="preserve"> paula.faria@estudante.edu.uffs.br</w:t>
      </w:r>
    </w:p>
  </w:footnote>
  <w:footnote w:id="2">
    <w:p w14:paraId="697BF0A9" w14:textId="77D7EEF2" w:rsidR="00930C06" w:rsidRDefault="00BD29CC">
      <w:pPr>
        <w:pStyle w:val="Footnote"/>
        <w:rPr>
          <w:rFonts w:ascii="Times New Roman" w:hAnsi="Times New Roman"/>
        </w:rPr>
      </w:pPr>
      <w:r>
        <w:rPr>
          <w:rStyle w:val="Refdenotaderodap"/>
        </w:rPr>
        <w:footnoteRef/>
      </w:r>
      <w:r>
        <w:rPr>
          <w:rFonts w:ascii="Times New Roman" w:hAnsi="Times New Roman"/>
        </w:rPr>
        <w:t xml:space="preserve">Grupo de Pesquisa: </w:t>
      </w:r>
      <w:r w:rsidRPr="00F2645D">
        <w:rPr>
          <w:rFonts w:ascii="Times New Roman" w:hAnsi="Times New Roman" w:cs="Times New Roman"/>
        </w:rPr>
        <w:t>Estudos biológicos e clínicos em patologias humanas</w:t>
      </w:r>
    </w:p>
  </w:footnote>
  <w:footnote w:id="3">
    <w:p w14:paraId="697BF0AA" w14:textId="29810AB8" w:rsidR="00930C06" w:rsidRDefault="00BD29CC">
      <w:pPr>
        <w:pStyle w:val="Textodenotaderodap"/>
        <w:jc w:val="both"/>
        <w:rPr>
          <w:rFonts w:hint="eastAsia"/>
        </w:rPr>
      </w:pPr>
      <w:r>
        <w:rPr>
          <w:rStyle w:val="Refdenotaderodap"/>
        </w:rPr>
        <w:footnoteRef/>
      </w:r>
      <w:r>
        <w:rPr>
          <w:rStyle w:val="Fontepargpadro1"/>
          <w:rFonts w:eastAsia="Times New Roman" w:cs="Times New Roman"/>
          <w:lang w:bidi="ar-SA"/>
        </w:rPr>
        <w:t xml:space="preserve"> </w:t>
      </w:r>
      <w:r w:rsidRPr="00F2645D">
        <w:rPr>
          <w:rFonts w:ascii="Times New Roman" w:hAnsi="Times New Roman" w:cs="Times New Roman"/>
        </w:rPr>
        <w:t>Acadêmic</w:t>
      </w:r>
      <w:r>
        <w:rPr>
          <w:rFonts w:ascii="Times New Roman" w:hAnsi="Times New Roman" w:cs="Times New Roman"/>
        </w:rPr>
        <w:t>a</w:t>
      </w:r>
      <w:r w:rsidRPr="00F2645D">
        <w:rPr>
          <w:rFonts w:ascii="Times New Roman" w:hAnsi="Times New Roman" w:cs="Times New Roman"/>
        </w:rPr>
        <w:t xml:space="preserve"> de Medicina, Universidade Federal da Fronteira Sul, </w:t>
      </w:r>
      <w:r w:rsidRPr="00BD29CC">
        <w:rPr>
          <w:rFonts w:ascii="Times New Roman" w:hAnsi="Times New Roman" w:cs="Times New Roman"/>
          <w:i/>
          <w:iCs/>
        </w:rPr>
        <w:t>campus</w:t>
      </w:r>
      <w:r w:rsidRPr="00F2645D">
        <w:rPr>
          <w:rFonts w:ascii="Times New Roman" w:hAnsi="Times New Roman" w:cs="Times New Roman"/>
        </w:rPr>
        <w:t xml:space="preserve"> Chapecó</w:t>
      </w:r>
      <w:r>
        <w:rPr>
          <w:rStyle w:val="Fontepargpadro1"/>
          <w:rFonts w:ascii="Times New Roman" w:eastAsia="Times New Roman" w:hAnsi="Times New Roman" w:cs="Times New Roman"/>
          <w:lang w:bidi="ar-SA"/>
        </w:rPr>
        <w:t>.</w:t>
      </w:r>
    </w:p>
  </w:footnote>
  <w:footnote w:id="4">
    <w:p w14:paraId="697BF0AB" w14:textId="7A87C401" w:rsidR="00930C06" w:rsidRDefault="00BD29CC" w:rsidP="00BD29CC">
      <w:pPr>
        <w:pStyle w:val="Footnote"/>
        <w:ind w:left="0" w:firstLine="0"/>
        <w:jc w:val="both"/>
        <w:rPr>
          <w:rFonts w:ascii="Times New Roman" w:hAnsi="Times New Roman"/>
        </w:rPr>
      </w:pPr>
      <w:r>
        <w:rPr>
          <w:rStyle w:val="Refdenotaderodap"/>
        </w:rPr>
        <w:footnoteRef/>
      </w:r>
      <w:r w:rsidRPr="00F2645D">
        <w:rPr>
          <w:rFonts w:ascii="Times New Roman" w:hAnsi="Times New Roman" w:cs="Times New Roman"/>
        </w:rPr>
        <w:t>Doutora em Bioquímica Toxicológica, docente do Curso de Medicina e de Pós-Graduação em</w:t>
      </w:r>
      <w:r>
        <w:rPr>
          <w:rFonts w:ascii="Times New Roman" w:hAnsi="Times New Roman" w:cs="Times New Roman"/>
        </w:rPr>
        <w:t xml:space="preserve"> </w:t>
      </w:r>
      <w:r w:rsidRPr="00F2645D">
        <w:rPr>
          <w:rFonts w:ascii="Times New Roman" w:hAnsi="Times New Roman" w:cs="Times New Roman"/>
        </w:rPr>
        <w:t>Ciências</w:t>
      </w:r>
      <w:r>
        <w:rPr>
          <w:rFonts w:ascii="Times New Roman" w:hAnsi="Times New Roman" w:cs="Times New Roman"/>
        </w:rPr>
        <w:t xml:space="preserve"> </w:t>
      </w:r>
      <w:r w:rsidRPr="00F2645D">
        <w:rPr>
          <w:rFonts w:ascii="Times New Roman" w:hAnsi="Times New Roman" w:cs="Times New Roman"/>
        </w:rPr>
        <w:t xml:space="preserve">Biomédicas da Universidade Federal da Fronteira Sul, </w:t>
      </w:r>
      <w:r w:rsidRPr="00BD29CC">
        <w:rPr>
          <w:rFonts w:ascii="Times New Roman" w:hAnsi="Times New Roman" w:cs="Times New Roman"/>
          <w:i/>
          <w:iCs/>
        </w:rPr>
        <w:t>campus</w:t>
      </w:r>
      <w:r w:rsidRPr="00F2645D">
        <w:rPr>
          <w:rFonts w:ascii="Times New Roman" w:hAnsi="Times New Roman" w:cs="Times New Roman"/>
        </w:rPr>
        <w:t xml:space="preserve"> Chapecó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/>
          <w:b/>
          <w:bCs/>
        </w:rPr>
        <w:t>Orientadora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BF0AE" w14:textId="77777777" w:rsidR="00BD29CC" w:rsidRDefault="00BD29CC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7BF0A6" wp14:editId="697BF0A7">
          <wp:simplePos x="0" y="0"/>
          <wp:positionH relativeFrom="column">
            <wp:posOffset>-1080000</wp:posOffset>
          </wp:positionH>
          <wp:positionV relativeFrom="paragraph">
            <wp:posOffset>-1080000</wp:posOffset>
          </wp:positionV>
          <wp:extent cx="7559640" cy="1257840"/>
          <wp:effectExtent l="0" t="0" r="3210" b="0"/>
          <wp:wrapSquare wrapText="bothSides"/>
          <wp:docPr id="86332407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40" cy="125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7BF0AF" w14:textId="77777777" w:rsidR="00BD29CC" w:rsidRDefault="00BD29CC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8406F"/>
    <w:multiLevelType w:val="multilevel"/>
    <w:tmpl w:val="2E2A86D2"/>
    <w:styleLink w:val="WWNum8"/>
    <w:lvl w:ilvl="0">
      <w:start w:val="1"/>
      <w:numFmt w:val="lowerRoman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52CB78C9"/>
    <w:multiLevelType w:val="multilevel"/>
    <w:tmpl w:val="193439B2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 w15:restartNumberingAfterBreak="0">
    <w:nsid w:val="6B6D0839"/>
    <w:multiLevelType w:val="multilevel"/>
    <w:tmpl w:val="443E765A"/>
    <w:lvl w:ilvl="0">
      <w:start w:val="1"/>
      <w:numFmt w:val="upperRoman"/>
      <w:lvlText w:val="%1."/>
      <w:lvlJc w:val="left"/>
      <w:pPr>
        <w:ind w:left="709" w:hanging="283"/>
      </w:pPr>
      <w:rPr>
        <w:b/>
        <w:bCs/>
      </w:rPr>
    </w:lvl>
    <w:lvl w:ilvl="1">
      <w:start w:val="1"/>
      <w:numFmt w:val="decimal"/>
      <w:lvlText w:val="%2."/>
      <w:lvlJc w:val="left"/>
      <w:pPr>
        <w:ind w:left="1418" w:hanging="283"/>
      </w:pPr>
      <w:rPr>
        <w:b/>
        <w:bCs/>
      </w:rPr>
    </w:lvl>
    <w:lvl w:ilvl="2">
      <w:start w:val="1"/>
      <w:numFmt w:val="decimal"/>
      <w:lvlText w:val="%3."/>
      <w:lvlJc w:val="left"/>
      <w:pPr>
        <w:ind w:left="2127" w:hanging="283"/>
      </w:pPr>
      <w:rPr>
        <w:b/>
        <w:bCs/>
      </w:rPr>
    </w:lvl>
    <w:lvl w:ilvl="3">
      <w:start w:val="1"/>
      <w:numFmt w:val="decimal"/>
      <w:lvlText w:val="%4."/>
      <w:lvlJc w:val="left"/>
      <w:pPr>
        <w:ind w:left="2836" w:hanging="283"/>
      </w:pPr>
      <w:rPr>
        <w:b/>
        <w:bCs/>
      </w:rPr>
    </w:lvl>
    <w:lvl w:ilvl="4">
      <w:start w:val="1"/>
      <w:numFmt w:val="decimal"/>
      <w:lvlText w:val="%5."/>
      <w:lvlJc w:val="left"/>
      <w:pPr>
        <w:ind w:left="3545" w:hanging="283"/>
      </w:pPr>
      <w:rPr>
        <w:b/>
        <w:bCs/>
      </w:rPr>
    </w:lvl>
    <w:lvl w:ilvl="5">
      <w:start w:val="1"/>
      <w:numFmt w:val="decimal"/>
      <w:lvlText w:val="%6."/>
      <w:lvlJc w:val="left"/>
      <w:pPr>
        <w:ind w:left="4254" w:hanging="283"/>
      </w:pPr>
      <w:rPr>
        <w:b/>
        <w:bCs/>
      </w:rPr>
    </w:lvl>
    <w:lvl w:ilvl="6">
      <w:start w:val="1"/>
      <w:numFmt w:val="decimal"/>
      <w:lvlText w:val="%7."/>
      <w:lvlJc w:val="left"/>
      <w:pPr>
        <w:ind w:left="4963" w:hanging="283"/>
      </w:pPr>
      <w:rPr>
        <w:b/>
        <w:bCs/>
      </w:rPr>
    </w:lvl>
    <w:lvl w:ilvl="7">
      <w:start w:val="1"/>
      <w:numFmt w:val="decimal"/>
      <w:lvlText w:val="%8."/>
      <w:lvlJc w:val="left"/>
      <w:pPr>
        <w:ind w:left="5672" w:hanging="283"/>
      </w:pPr>
      <w:rPr>
        <w:b/>
        <w:bCs/>
      </w:rPr>
    </w:lvl>
    <w:lvl w:ilvl="8">
      <w:start w:val="1"/>
      <w:numFmt w:val="decimal"/>
      <w:lvlText w:val="%9."/>
      <w:lvlJc w:val="left"/>
      <w:pPr>
        <w:ind w:left="6381" w:hanging="283"/>
      </w:pPr>
      <w:rPr>
        <w:b/>
        <w:bCs/>
      </w:rPr>
    </w:lvl>
  </w:abstractNum>
  <w:num w:numId="1" w16cid:durableId="1672954201">
    <w:abstractNumId w:val="1"/>
  </w:num>
  <w:num w:numId="2" w16cid:durableId="1531256158">
    <w:abstractNumId w:val="0"/>
  </w:num>
  <w:num w:numId="3" w16cid:durableId="171056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06"/>
    <w:rsid w:val="00024310"/>
    <w:rsid w:val="00066768"/>
    <w:rsid w:val="00070391"/>
    <w:rsid w:val="00084B89"/>
    <w:rsid w:val="000D4B1E"/>
    <w:rsid w:val="001011D3"/>
    <w:rsid w:val="00103EC1"/>
    <w:rsid w:val="001367BF"/>
    <w:rsid w:val="001C6763"/>
    <w:rsid w:val="00235938"/>
    <w:rsid w:val="00246DAF"/>
    <w:rsid w:val="002C422D"/>
    <w:rsid w:val="0044426D"/>
    <w:rsid w:val="00451BBD"/>
    <w:rsid w:val="004A56B4"/>
    <w:rsid w:val="00527B74"/>
    <w:rsid w:val="005949F5"/>
    <w:rsid w:val="005E6EF1"/>
    <w:rsid w:val="006403D3"/>
    <w:rsid w:val="006A3A29"/>
    <w:rsid w:val="007269AE"/>
    <w:rsid w:val="00727BC4"/>
    <w:rsid w:val="00737249"/>
    <w:rsid w:val="00740CA5"/>
    <w:rsid w:val="007D0301"/>
    <w:rsid w:val="007F10F3"/>
    <w:rsid w:val="007F3B53"/>
    <w:rsid w:val="007F733B"/>
    <w:rsid w:val="0080523B"/>
    <w:rsid w:val="00822D49"/>
    <w:rsid w:val="00830DC6"/>
    <w:rsid w:val="00832DF1"/>
    <w:rsid w:val="00867DAE"/>
    <w:rsid w:val="00896158"/>
    <w:rsid w:val="00930C06"/>
    <w:rsid w:val="00940B61"/>
    <w:rsid w:val="009563D2"/>
    <w:rsid w:val="009B0635"/>
    <w:rsid w:val="009D0C9F"/>
    <w:rsid w:val="009F042B"/>
    <w:rsid w:val="009F6024"/>
    <w:rsid w:val="00AA1DA0"/>
    <w:rsid w:val="00B719CD"/>
    <w:rsid w:val="00B7480B"/>
    <w:rsid w:val="00B91EBB"/>
    <w:rsid w:val="00BD29CC"/>
    <w:rsid w:val="00C06A25"/>
    <w:rsid w:val="00C13A7F"/>
    <w:rsid w:val="00C279D6"/>
    <w:rsid w:val="00D21012"/>
    <w:rsid w:val="00D2660D"/>
    <w:rsid w:val="00DC2E91"/>
    <w:rsid w:val="00DD4DBA"/>
    <w:rsid w:val="00E14C50"/>
    <w:rsid w:val="00E46BF4"/>
    <w:rsid w:val="00E5493D"/>
    <w:rsid w:val="00E8711E"/>
    <w:rsid w:val="00F92B81"/>
    <w:rsid w:val="00FC68B3"/>
    <w:rsid w:val="00FC6D96"/>
    <w:rsid w:val="00FE2A50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F0A6"/>
  <w15:docId w15:val="{8AE9CD91-22DE-4BF8-978E-A7085A2E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customStyle="1" w:styleId="LO-Normal">
    <w:name w:val="LO-Normal"/>
    <w:pPr>
      <w:spacing w:before="120" w:after="120" w:line="360" w:lineRule="auto"/>
      <w:jc w:val="both"/>
    </w:pPr>
    <w:rPr>
      <w:rFonts w:ascii="Times New Roman" w:eastAsia="SimSun, 宋体" w:hAnsi="Times New Roman" w:cs="Times New Roman"/>
      <w:lang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Textodenotaderodap">
    <w:name w:val="footnote text"/>
    <w:basedOn w:val="Standard"/>
    <w:rPr>
      <w:sz w:val="20"/>
      <w:szCs w:val="20"/>
    </w:rPr>
  </w:style>
  <w:style w:type="character" w:customStyle="1" w:styleId="Fontepargpadro1">
    <w:name w:val="Fonte parág. padrão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693D"/>
      <w:position w:val="0"/>
      <w:sz w:val="24"/>
      <w:szCs w:val="24"/>
      <w:u w:val="single"/>
      <w:vertAlign w:val="baselin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7">
    <w:name w:val="WWNum7"/>
    <w:basedOn w:val="Semlista"/>
    <w:pPr>
      <w:numPr>
        <w:numId w:val="1"/>
      </w:numPr>
    </w:pPr>
  </w:style>
  <w:style w:type="numbering" w:customStyle="1" w:styleId="WWNum8">
    <w:name w:val="WWNum8"/>
    <w:basedOn w:val="Semlista"/>
    <w:pPr>
      <w:numPr>
        <w:numId w:val="2"/>
      </w:numPr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rsid w:val="007F3B5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7D030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D030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1674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Camara Lima Faria</dc:creator>
  <cp:lastModifiedBy>Paula Camara Lima Faria</cp:lastModifiedBy>
  <cp:revision>54</cp:revision>
  <dcterms:created xsi:type="dcterms:W3CDTF">2024-08-18T15:02:00Z</dcterms:created>
  <dcterms:modified xsi:type="dcterms:W3CDTF">2024-08-21T14:46:00Z</dcterms:modified>
</cp:coreProperties>
</file>