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widowControl w:val="false"/>
        <w:spacing w:lineRule="auto" w:line="360"/>
        <w:jc w:val="center"/>
        <w:rPr/>
      </w:pPr>
      <w:r>
        <w:rPr>
          <w:rFonts w:eastAsia="Times New Roman" w:cs="Times New Roman" w:ascii="Times New Roman" w:hAnsi="Times New Roman"/>
          <w:b/>
          <w:color w:val="000000"/>
        </w:rPr>
        <w:t>A EDUCAÇÃO CIÊNCIA-TECNOLOGIA-SOCIEDADE NA LICENCIATURA EM EDUCAÇÃO DO CAMPO: UM OLHAR PARA OS REL</w:t>
      </w:r>
      <w:r>
        <w:rPr>
          <w:rFonts w:eastAsia="Times New Roman" w:cs="Times New Roman" w:ascii="Times New Roman" w:hAnsi="Times New Roman"/>
          <w:b/>
        </w:rPr>
        <w:t>ATÓRIOS DE ESTÁGIO</w:t>
      </w:r>
      <w:r>
        <w:rPr>
          <w:rStyle w:val="FootnoteAnchor"/>
          <w:rFonts w:eastAsia="Times New Roman" w:cs="Times New Roman" w:ascii="Times New Roman" w:hAnsi="Times New Roman"/>
          <w:b/>
        </w:rPr>
        <w:footnoteReference w:id="2"/>
      </w:r>
    </w:p>
    <w:p>
      <w:pPr>
        <w:pStyle w:val="Normal"/>
        <w:widowControl w:val="false"/>
        <w:spacing w:lineRule="auto" w:line="360"/>
        <w:jc w:val="center"/>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widowControl w:val="false"/>
        <w:spacing w:lineRule="auto" w:line="360"/>
        <w:jc w:val="center"/>
        <w:rPr>
          <w:rFonts w:ascii="Times New Roman" w:hAnsi="Times New Roman" w:eastAsia="Times New Roman" w:cs="Times New Roman"/>
          <w:color w:val="000000"/>
        </w:rPr>
      </w:pPr>
      <w:r>
        <w:rPr>
          <w:rFonts w:eastAsia="Times New Roman" w:cs="Times New Roman" w:ascii="Times New Roman" w:hAnsi="Times New Roman"/>
          <w:b/>
        </w:rPr>
        <w:t>GABRIEL T. ARGENTON</w:t>
      </w:r>
      <w:r>
        <w:rPr>
          <w:rStyle w:val="FootnoteAnchor"/>
          <w:rFonts w:eastAsia="Times New Roman" w:cs="Times New Roman" w:ascii="Times New Roman" w:hAnsi="Times New Roman"/>
          <w:b/>
          <w:color w:val="000000"/>
          <w:vertAlign w:val="superscript"/>
        </w:rPr>
        <w:footnoteReference w:id="3"/>
      </w:r>
      <w:r>
        <w:rPr>
          <w:rFonts w:eastAsia="Times New Roman" w:cs="Times New Roman" w:ascii="Times New Roman" w:hAnsi="Times New Roman"/>
          <w:b/>
          <w:color w:val="000000"/>
          <w:vertAlign w:val="superscript"/>
        </w:rPr>
        <w:t xml:space="preserve">, </w:t>
      </w:r>
      <w:r>
        <w:rPr>
          <w:rFonts w:eastAsia="Times New Roman" w:cs="Times New Roman" w:ascii="Times New Roman" w:hAnsi="Times New Roman"/>
          <w:b/>
        </w:rPr>
        <w:t xml:space="preserve"> RAQUEL FERRON LASSIG</w:t>
      </w:r>
      <w:r>
        <w:rPr>
          <w:rStyle w:val="FootnoteAnchor"/>
          <w:rFonts w:eastAsia="Times New Roman" w:cs="Times New Roman" w:ascii="Times New Roman" w:hAnsi="Times New Roman"/>
          <w:b/>
          <w:vertAlign w:val="superscript"/>
        </w:rPr>
        <w:footnoteReference w:id="4"/>
      </w:r>
      <w:r>
        <w:rPr>
          <w:rFonts w:eastAsia="Times New Roman" w:cs="Times New Roman" w:ascii="Times New Roman" w:hAnsi="Times New Roman"/>
          <w:b/>
        </w:rPr>
        <w:t xml:space="preserve"> SINARA MÜNCHEN</w:t>
      </w:r>
      <w:r>
        <w:rPr>
          <w:rStyle w:val="FootnoteAnchor"/>
          <w:rFonts w:eastAsia="Times New Roman" w:cs="Times New Roman" w:ascii="Times New Roman" w:hAnsi="Times New Roman"/>
          <w:b/>
          <w:color w:val="000000"/>
          <w:vertAlign w:val="superscript"/>
        </w:rPr>
        <w:footnoteReference w:id="5"/>
      </w:r>
      <w:r>
        <w:rPr>
          <w:rFonts w:eastAsia="Times New Roman" w:cs="Times New Roman" w:ascii="Times New Roman" w:hAnsi="Times New Roman"/>
          <w:b/>
          <w:color w:val="000000"/>
        </w:rPr>
        <w:t xml:space="preserve"> </w:t>
      </w:r>
    </w:p>
    <w:p>
      <w:pPr>
        <w:pStyle w:val="Normal"/>
        <w:widowControl w:val="false"/>
        <w:spacing w:lineRule="auto" w:line="36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widowControl w:val="false"/>
        <w:spacing w:lineRule="auto" w:line="360"/>
        <w:jc w:val="both"/>
        <w:rPr/>
      </w:pPr>
      <w:r>
        <w:rPr>
          <w:rFonts w:eastAsia="Times New Roman" w:cs="Times New Roman" w:ascii="Times New Roman" w:hAnsi="Times New Roman"/>
          <w:b/>
          <w:color w:val="000000"/>
        </w:rPr>
        <w:t xml:space="preserve">1 Introdução </w:t>
      </w:r>
    </w:p>
    <w:p>
      <w:pPr>
        <w:pStyle w:val="Normal"/>
        <w:widowControl w:val="false"/>
        <w:spacing w:lineRule="auto" w:line="360"/>
        <w:ind w:firstLine="709"/>
        <w:jc w:val="both"/>
        <w:rPr>
          <w:rFonts w:ascii="Times New Roman" w:hAnsi="Times New Roman" w:eastAsia="Times New Roman" w:cs="Times New Roman"/>
        </w:rPr>
      </w:pPr>
      <w:r>
        <w:rPr>
          <w:rFonts w:eastAsia="Times New Roman" w:cs="Times New Roman" w:ascii="Times New Roman" w:hAnsi="Times New Roman"/>
          <w:color w:val="000000"/>
        </w:rPr>
        <w:t xml:space="preserve">Debater novas propostas de ensino nos cursos de licenciatura é um grande exercício para transformar a prática educativa dos futuros profissionais docentes, colocando-se em evidência tendências que visam aproximar a escola das realidades dos/as estudantes. Atualmente, é necessário pensar o ensino de ciências e seu currículo mais próximos às questões do cotidiano dos/as estudantes, sendo necessárias articulações entre a realidade social dos estudantes com os debates do saber curricular em sala de aula (CHASSOT, 2003).  </w:t>
      </w:r>
    </w:p>
    <w:p>
      <w:pPr>
        <w:pStyle w:val="Normal"/>
        <w:widowControl w:val="false"/>
        <w:spacing w:lineRule="auto" w:line="360"/>
        <w:ind w:firstLine="709"/>
        <w:jc w:val="both"/>
        <w:rPr>
          <w:rFonts w:ascii="Times New Roman" w:hAnsi="Times New Roman" w:eastAsia="Times New Roman" w:cs="Times New Roman"/>
        </w:rPr>
      </w:pPr>
      <w:r>
        <w:rPr>
          <w:rFonts w:eastAsia="Times New Roman" w:cs="Times New Roman" w:ascii="Times New Roman" w:hAnsi="Times New Roman"/>
          <w:color w:val="000000"/>
        </w:rPr>
        <w:t>Entre diversas linhas de pensamento que dão enfoque às questões sociais da escola, tem-se a educação Ciência-Tecnologia-Sociedade (CTS) como uma opção para pensar e estruturar o ensino de ciências em caráter contextualizado. Para Santos e Mortimer (2002, p.114), a educação CTS tem como objetivo desenvolver  “valores vinculados aos interesses coletivos, como os de solidariedade, de fraternidade, de consciência do compromisso social, de reciprocidade, de respeito ao próximo e de generosidade”.</w:t>
      </w:r>
    </w:p>
    <w:p>
      <w:pPr>
        <w:pStyle w:val="Normal"/>
        <w:widowControl w:val="false"/>
        <w:spacing w:lineRule="auto" w:line="360"/>
        <w:ind w:firstLine="709"/>
        <w:jc w:val="both"/>
        <w:rPr/>
      </w:pPr>
      <w:r>
        <w:rPr>
          <w:rFonts w:eastAsia="Times New Roman" w:cs="Times New Roman" w:ascii="Times New Roman" w:hAnsi="Times New Roman"/>
          <w:b/>
        </w:rPr>
        <w:tab/>
      </w:r>
      <w:r>
        <w:rPr>
          <w:rFonts w:eastAsia="Times New Roman" w:cs="Times New Roman" w:ascii="Times New Roman" w:hAnsi="Times New Roman"/>
        </w:rPr>
        <w:t xml:space="preserve">Pensar uma perspectiva educacional </w:t>
      </w:r>
      <w:r>
        <w:rPr>
          <w:rFonts w:eastAsia="Times New Roman" w:cs="Times New Roman" w:ascii="Times New Roman" w:hAnsi="Times New Roman"/>
          <w:color w:val="000000"/>
        </w:rPr>
        <w:t>a partir das inter-relações previstas pela educação CTS é algo que vem emergindo nas universidades, e</w:t>
      </w:r>
      <w:r>
        <w:rPr>
          <w:rFonts w:eastAsia="Times New Roman" w:cs="Times New Roman" w:ascii="Times New Roman" w:hAnsi="Times New Roman"/>
        </w:rPr>
        <w:t>m práticas e pesquisas. Nesse sentido, cursos de formação de professores de Ciê</w:t>
      </w:r>
      <w:r>
        <w:rPr>
          <w:rFonts w:eastAsia="Times New Roman" w:cs="Times New Roman" w:ascii="Times New Roman" w:hAnsi="Times New Roman"/>
          <w:color w:val="000000"/>
        </w:rPr>
        <w:t>ncias devem fomentar o debate sobre as relações científico-tecnológicas na sociedade e o vínculo com o seu ensino. Vinculado a esses elementos, neste trabalho procurou-se investigar como essas relações se manifestam na formação incial de professores ao principiarem na docência, como nos momentos de estágios.</w:t>
      </w:r>
    </w:p>
    <w:p>
      <w:pPr>
        <w:pStyle w:val="Normal"/>
        <w:widowControl w:val="false"/>
        <w:spacing w:lineRule="auto" w:line="360"/>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p>
      <w:pPr>
        <w:pStyle w:val="Normal"/>
        <w:widowControl w:val="false"/>
        <w:spacing w:lineRule="auto" w:line="360"/>
        <w:jc w:val="both"/>
        <w:rPr/>
      </w:pPr>
      <w:r>
        <w:rPr>
          <w:rFonts w:eastAsia="Times New Roman" w:cs="Times New Roman" w:ascii="Times New Roman" w:hAnsi="Times New Roman"/>
          <w:b/>
          <w:color w:val="000000"/>
        </w:rPr>
        <w:t>2 Objetivos</w:t>
      </w:r>
      <w:r>
        <w:rPr>
          <w:rFonts w:eastAsia="Times New Roman" w:cs="Times New Roman" w:ascii="Times New Roman" w:hAnsi="Times New Roman"/>
          <w:color w:val="000000"/>
        </w:rPr>
        <w:t xml:space="preserve"> </w:t>
      </w:r>
    </w:p>
    <w:p>
      <w:pPr>
        <w:pStyle w:val="Normal"/>
        <w:widowControl w:val="false"/>
        <w:spacing w:lineRule="auto" w:line="360"/>
        <w:ind w:firstLine="709"/>
        <w:jc w:val="both"/>
        <w:rPr>
          <w:rFonts w:ascii="Times New Roman" w:hAnsi="Times New Roman" w:eastAsia="Times New Roman" w:cs="Times New Roman"/>
        </w:rPr>
      </w:pPr>
      <w:r>
        <w:rPr>
          <w:rFonts w:eastAsia="Times New Roman" w:cs="Times New Roman" w:ascii="Times New Roman" w:hAnsi="Times New Roman"/>
        </w:rPr>
        <w:tab/>
      </w:r>
      <w:r>
        <w:rPr>
          <w:rFonts w:eastAsia="Times New Roman" w:cs="Times New Roman" w:ascii="Times New Roman" w:hAnsi="Times New Roman"/>
          <w:color w:val="000000"/>
        </w:rPr>
        <w:t xml:space="preserve">O objetivo geral deste trabalho foi o de identificar se há elementos da educação CTS nos estágios supervisionados dos/as graduandos/as do curso de Licenciatura em Educação do Campo, a fim de analisar sua presença na fase inicial da prática docente. Dessa forma, constituíram-se em objetivos específicos: a) identificar citações diretas ao conceito da educação CTS; b) pesquisar a presença de valores de educação CTS nos relatórios de estágio supervisionado dos/as graduandos/as do curso de Licenciatura em Educação do Campo. </w:t>
      </w:r>
    </w:p>
    <w:p>
      <w:pPr>
        <w:pStyle w:val="Normal"/>
        <w:widowControl w:val="false"/>
        <w:spacing w:lineRule="auto" w:line="360"/>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p>
      <w:pPr>
        <w:pStyle w:val="Normal"/>
        <w:widowControl w:val="false"/>
        <w:spacing w:lineRule="auto" w:line="360"/>
        <w:jc w:val="both"/>
        <w:rPr/>
      </w:pPr>
      <w:r>
        <w:rPr>
          <w:rFonts w:eastAsia="Times New Roman" w:cs="Times New Roman" w:ascii="Times New Roman" w:hAnsi="Times New Roman"/>
          <w:b/>
          <w:color w:val="000000"/>
        </w:rPr>
        <w:t>3 Metodologia</w:t>
      </w:r>
      <w:r>
        <w:rPr>
          <w:rFonts w:eastAsia="Times New Roman" w:cs="Times New Roman" w:ascii="Times New Roman" w:hAnsi="Times New Roman"/>
          <w:color w:val="000000"/>
        </w:rPr>
        <w:t xml:space="preserve"> </w:t>
      </w:r>
    </w:p>
    <w:p>
      <w:pPr>
        <w:pStyle w:val="Normal"/>
        <w:spacing w:lineRule="auto" w:line="360"/>
        <w:ind w:firstLine="709"/>
        <w:jc w:val="both"/>
        <w:rPr>
          <w:rFonts w:ascii="Times New Roman" w:hAnsi="Times New Roman" w:eastAsia="Times New Roman" w:cs="Times New Roman"/>
        </w:rPr>
      </w:pPr>
      <w:r>
        <w:rPr>
          <w:color w:val="000000"/>
        </w:rPr>
        <w:tab/>
      </w:r>
      <w:r>
        <w:rPr>
          <w:rFonts w:eastAsia="Times New Roman" w:cs="Times New Roman" w:ascii="Times New Roman" w:hAnsi="Times New Roman"/>
          <w:color w:val="000000"/>
        </w:rPr>
        <w:t>Este trabalho é de caráter qualitativo e buscou estabelecer relações entre amostras selecionadas de documentos e discussões teóricas sobre o tema educação CTS (</w:t>
      </w:r>
      <w:r>
        <w:rPr>
          <w:rFonts w:eastAsia="Times New Roman" w:cs="Times New Roman" w:ascii="Times New Roman" w:hAnsi="Times New Roman"/>
          <w:color w:val="000000" w:themeShade="bf"/>
        </w:rPr>
        <w:t>GIL, 2008</w:t>
      </w:r>
      <w:r>
        <w:rPr>
          <w:rFonts w:eastAsia="Times New Roman" w:cs="Times New Roman" w:ascii="Times New Roman" w:hAnsi="Times New Roman"/>
          <w:color w:val="000000"/>
        </w:rPr>
        <w:t xml:space="preserve">). Nessa perspectiva, de acordo com o referido autor </w:t>
      </w:r>
      <w:r>
        <w:rPr>
          <w:rFonts w:eastAsia="Times New Roman" w:cs="Times New Roman" w:ascii="Times New Roman" w:hAnsi="Times New Roman"/>
          <w:color w:val="000000" w:themeShade="bf"/>
        </w:rPr>
        <w:t xml:space="preserve">(2008, p.177), </w:t>
      </w:r>
      <w:r>
        <w:rPr>
          <w:rFonts w:eastAsia="Times New Roman" w:cs="Times New Roman" w:ascii="Times New Roman" w:hAnsi="Times New Roman"/>
          <w:color w:val="000000"/>
        </w:rPr>
        <w:t xml:space="preserve">“na análise qualitativa o elemento humano continua sendo fundamental”, estando fortemente ligado às influências e concepções de mundo do grupo que realiza a pesquisa. </w:t>
      </w:r>
    </w:p>
    <w:p>
      <w:pPr>
        <w:pStyle w:val="Normal"/>
        <w:spacing w:lineRule="auto" w:line="360"/>
        <w:ind w:firstLine="709"/>
        <w:jc w:val="both"/>
        <w:rPr/>
      </w:pPr>
      <w:r>
        <w:rPr>
          <w:rFonts w:eastAsia="Times New Roman" w:cs="Times New Roman" w:ascii="Times New Roman" w:hAnsi="Times New Roman"/>
        </w:rPr>
        <w:tab/>
      </w:r>
      <w:r>
        <w:rPr>
          <w:rFonts w:eastAsia="Times New Roman" w:cs="Times New Roman" w:ascii="Times New Roman" w:hAnsi="Times New Roman"/>
          <w:color w:val="000000"/>
        </w:rPr>
        <w:t xml:space="preserve">Assim, a pesquisa, de caráter documental, investigou 19 relatórios finais de estágio supervisionado, escritos por estudantes do curso de Licenciatura Interdisciplinar em Educação do Campo: Ciências da Natureza, ofertado pelo </w:t>
      </w:r>
      <w:r>
        <w:rPr>
          <w:rFonts w:eastAsia="Times New Roman" w:cs="Times New Roman" w:ascii="Times New Roman" w:hAnsi="Times New Roman"/>
          <w:i/>
          <w:color w:val="000000"/>
        </w:rPr>
        <w:t>Campus</w:t>
      </w:r>
      <w:r>
        <w:rPr>
          <w:rFonts w:eastAsia="Times New Roman" w:cs="Times New Roman" w:ascii="Times New Roman" w:hAnsi="Times New Roman"/>
          <w:color w:val="000000"/>
        </w:rPr>
        <w:t xml:space="preserve"> Erechim da Universidade Federal da Fronteira Sul. A partir disso, estabeleceu-se aproximações teóricas entre os trechos que foram selecionados, que estarão representados/as pela letra “R”, e as perspectiva CTS na educação</w:t>
      </w:r>
      <w:r>
        <w:rPr>
          <w:color w:val="000000"/>
        </w:rPr>
        <w:t xml:space="preserve">. </w:t>
      </w:r>
    </w:p>
    <w:p>
      <w:pPr>
        <w:pStyle w:val="Normal"/>
        <w:widowControl w:val="false"/>
        <w:spacing w:lineRule="auto" w:line="360"/>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p>
      <w:pPr>
        <w:pStyle w:val="Normal"/>
        <w:widowControl w:val="false"/>
        <w:spacing w:lineRule="auto" w:line="360"/>
        <w:jc w:val="both"/>
        <w:rPr/>
      </w:pPr>
      <w:r>
        <w:rPr>
          <w:rFonts w:eastAsia="Times New Roman" w:cs="Times New Roman" w:ascii="Times New Roman" w:hAnsi="Times New Roman"/>
          <w:b/>
          <w:color w:val="000000"/>
        </w:rPr>
        <w:t>4 Resultados e Discussão</w:t>
      </w:r>
    </w:p>
    <w:p>
      <w:pPr>
        <w:pStyle w:val="Normal"/>
        <w:widowControl w:val="false"/>
        <w:spacing w:lineRule="auto" w:line="360"/>
        <w:ind w:firstLine="709"/>
        <w:jc w:val="both"/>
        <w:rPr/>
      </w:pPr>
      <w:r>
        <w:rPr>
          <w:rFonts w:eastAsia="Times New Roman" w:cs="Times New Roman" w:ascii="Times New Roman" w:hAnsi="Times New Roman"/>
          <w:b w:val="false"/>
          <w:bCs w:val="false"/>
        </w:rPr>
        <w:tab/>
        <w:t>Para delimitar nossa pesquisa, estabelecemos como recorte procurar abordar três pontos: i) dis</w:t>
      </w:r>
      <w:r>
        <w:rPr>
          <w:rFonts w:eastAsia="Times New Roman" w:cs="Times New Roman" w:ascii="Times New Roman" w:hAnsi="Times New Roman"/>
        </w:rPr>
        <w:t>cussões sobre a linguagem científica; ii) entendimento sobre a natureza da Ciência; e iii) o impacto dessas discussões científicas em âmbitos sociais. As Licenciaturas em Educação do Campo defendem que a dimensão formativa ultrapassa a educação disponibilizada na escola e têm fortes ligações com os processos sociais que ocorrem na vida dos/as estudante</w:t>
      </w:r>
      <w:r>
        <w:rPr>
          <w:rFonts w:eastAsia="Times New Roman" w:cs="Times New Roman" w:ascii="Times New Roman" w:hAnsi="Times New Roman"/>
          <w:color w:val="000000"/>
        </w:rPr>
        <w:t>s do campo (</w:t>
      </w:r>
      <w:r>
        <w:rPr>
          <w:rFonts w:eastAsia="Times New Roman" w:cs="Times New Roman" w:ascii="Times New Roman" w:hAnsi="Times New Roman"/>
          <w:color w:val="000000" w:themeShade="bf"/>
        </w:rPr>
        <w:t xml:space="preserve">MOLINA; SÁ, 2012). </w:t>
      </w:r>
      <w:r>
        <w:rPr>
          <w:rFonts w:eastAsia="Times New Roman" w:cs="Times New Roman" w:ascii="Times New Roman" w:hAnsi="Times New Roman"/>
          <w:color w:val="000000"/>
        </w:rPr>
        <w:t>Pensar essa aproximação entre Licenciaturas em Educação do Campo e CTS é pertinente, em especial nas graduações que têm foco no ensino de Ciências justamen</w:t>
      </w:r>
      <w:r>
        <w:rPr>
          <w:rFonts w:eastAsia="Times New Roman" w:cs="Times New Roman" w:ascii="Times New Roman" w:hAnsi="Times New Roman"/>
        </w:rPr>
        <w:t xml:space="preserve">te por essa ligação com o meio em que os estudantes </w:t>
      </w:r>
      <w:r>
        <w:rPr>
          <w:rFonts w:eastAsia="Times New Roman" w:cs="Times New Roman" w:ascii="Times New Roman" w:hAnsi="Times New Roman"/>
          <w:color w:val="000000"/>
        </w:rPr>
        <w:t>vivem. Assim, para tr</w:t>
      </w:r>
      <w:r>
        <w:rPr>
          <w:rFonts w:eastAsia="Times New Roman" w:cs="Times New Roman" w:ascii="Times New Roman" w:hAnsi="Times New Roman"/>
        </w:rPr>
        <w:t xml:space="preserve">ansformar a atuação em sala de aula a CTS pode ser um grande facilitador, auxiliando para o rompimento em relação ao modo convencional de educação descontextualizada. </w:t>
      </w:r>
    </w:p>
    <w:p>
      <w:pPr>
        <w:pStyle w:val="Normal"/>
        <w:widowControl w:val="false"/>
        <w:spacing w:lineRule="auto" w:line="360"/>
        <w:ind w:firstLine="709"/>
        <w:jc w:val="both"/>
        <w:rPr>
          <w:rFonts w:ascii="Times New Roman" w:hAnsi="Times New Roman" w:eastAsia="Times New Roman" w:cs="Times New Roman"/>
        </w:rPr>
      </w:pPr>
      <w:r>
        <w:rPr>
          <w:rFonts w:eastAsia="Times New Roman" w:cs="Times New Roman" w:ascii="Times New Roman" w:hAnsi="Times New Roman"/>
        </w:rPr>
        <w:t>Nos relatórios analisados aparece somente uma citação direta ao conceito de CTS, porém ideias semelhantes estão presentes na maioria dos relatórios. Fica mais evidente entender esse vínculo ao pensar que:</w:t>
      </w:r>
    </w:p>
    <w:p>
      <w:pPr>
        <w:pStyle w:val="Normal"/>
        <w:widowControl w:val="false"/>
        <w:ind w:left="2267" w:hanging="0"/>
        <w:jc w:val="both"/>
        <w:rPr>
          <w:color w:val="000000"/>
        </w:rPr>
      </w:pPr>
      <w:r>
        <w:rPr>
          <w:rFonts w:eastAsia="Times New Roman" w:cs="Times New Roman" w:ascii="Times New Roman" w:hAnsi="Times New Roman"/>
          <w:color w:val="000000"/>
          <w:sz w:val="20"/>
          <w:szCs w:val="20"/>
        </w:rPr>
        <w:t xml:space="preserve">Um dos objetivos de um currículo CTS é facilitar a compreensão dos estudantes em relação às experiências relacionadas com os fenômenos que os cercam em suas vidas diárias, de tal forma que a ciência escolar aproxime o saber tecnológico da vida social, no qual o objetivo passa a ser preencher o vazio causado pelo currículo tradicional de Ciências que costuma ser desvinculado da verdadeira compreensão da Natureza da Ciência e da Tecnologia (NdC&amp;T) (FILHO </w:t>
      </w:r>
      <w:r>
        <w:rPr>
          <w:rFonts w:eastAsia="Times New Roman" w:cs="Times New Roman" w:ascii="Times New Roman" w:hAnsi="Times New Roman"/>
          <w:i/>
          <w:color w:val="000000"/>
          <w:sz w:val="20"/>
          <w:szCs w:val="20"/>
        </w:rPr>
        <w:t xml:space="preserve">et. al, 2013, </w:t>
      </w:r>
      <w:r>
        <w:rPr>
          <w:rFonts w:eastAsia="Times New Roman" w:cs="Times New Roman" w:ascii="Times New Roman" w:hAnsi="Times New Roman"/>
          <w:color w:val="000000"/>
          <w:sz w:val="20"/>
          <w:szCs w:val="20"/>
        </w:rPr>
        <w:t>p. 316).</w:t>
      </w:r>
    </w:p>
    <w:p>
      <w:pPr>
        <w:pStyle w:val="Normal"/>
        <w:widowControl w:val="false"/>
        <w:ind w:left="2267"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val="false"/>
        <w:spacing w:lineRule="auto" w:line="360"/>
        <w:jc w:val="both"/>
        <w:rPr/>
      </w:pPr>
      <w:r>
        <w:rPr>
          <w:rFonts w:eastAsia="Times New Roman" w:cs="Times New Roman" w:ascii="Times New Roman" w:hAnsi="Times New Roman"/>
        </w:rPr>
        <w:tab/>
        <w:t>A linguagem científica é parte fundamental para iniciar o processo educativo. Nos relatórios de estágio é nítida essa preocupação nas discussões sobre os conceitos, em sua maioria</w:t>
      </w:r>
      <w:r>
        <w:rPr>
          <w:rFonts w:eastAsia="Times New Roman" w:cs="Times New Roman" w:ascii="Times New Roman" w:hAnsi="Times New Roman"/>
          <w:color w:val="000000"/>
        </w:rPr>
        <w:t xml:space="preserve"> “abordados em uma perspectiva relacional, de maneira a evidenciar as diferentes dimensões do conhecimento estudado, sobretudo as interações entre ciência, tecnologia e sociedade” (</w:t>
      </w:r>
      <w:r>
        <w:rPr>
          <w:rFonts w:eastAsia="Times New Roman" w:cs="Times New Roman" w:ascii="Times New Roman" w:hAnsi="Times New Roman"/>
          <w:color w:val="000000" w:themeShade="bf"/>
        </w:rPr>
        <w:t>SANTOS; MORTIMER, 2002, p.120)</w:t>
      </w:r>
      <w:r>
        <w:rPr>
          <w:rFonts w:eastAsia="Times New Roman" w:cs="Times New Roman" w:ascii="Times New Roman" w:hAnsi="Times New Roman"/>
          <w:color w:val="000000"/>
        </w:rPr>
        <w:t>. Pode-se elenca</w:t>
      </w:r>
      <w:r>
        <w:rPr>
          <w:rFonts w:eastAsia="Times New Roman" w:cs="Times New Roman" w:ascii="Times New Roman" w:hAnsi="Times New Roman"/>
        </w:rPr>
        <w:t xml:space="preserve">r a frase escrita pelo/a estudante R5.2, que ao tratar sobre outros temas traz a reflexão também sobre o conceito: </w:t>
      </w:r>
    </w:p>
    <w:p>
      <w:pPr>
        <w:pStyle w:val="Normal"/>
        <w:widowControl w:val="false"/>
        <w:ind w:left="2267" w:hanging="0"/>
        <w:jc w:val="both"/>
        <w:rPr>
          <w:rFonts w:ascii="Times New Roman" w:hAnsi="Times New Roman" w:eastAsia="Times New Roman" w:cs="Times New Roman"/>
          <w:i/>
          <w:i/>
          <w:sz w:val="20"/>
          <w:szCs w:val="20"/>
        </w:rPr>
      </w:pPr>
      <w:r>
        <w:rPr>
          <w:rFonts w:eastAsia="Times New Roman" w:cs="Times New Roman" w:ascii="Times New Roman" w:hAnsi="Times New Roman"/>
          <w:i/>
          <w:sz w:val="20"/>
          <w:szCs w:val="20"/>
        </w:rPr>
        <w:t>“</w:t>
      </w:r>
      <w:r>
        <w:rPr>
          <w:rFonts w:eastAsia="Times New Roman" w:cs="Times New Roman" w:ascii="Times New Roman" w:hAnsi="Times New Roman"/>
          <w:i/>
          <w:sz w:val="20"/>
          <w:szCs w:val="20"/>
        </w:rPr>
        <w:t>[...] possibilitam tanto ao professor, quanto ao aluno uma aproximação e compreensão dos conceitos científicos com a realidade e o cotidiano, possibilitando troca de informações e experiências, podendo de fato haver construção de conhecimentos e uma formação mais ampla e completa em todos os sentidos, chegando ao objetivo principal da educação do campo, dar sentido a nossa existência” (p. 8).</w:t>
      </w:r>
    </w:p>
    <w:p>
      <w:pPr>
        <w:pStyle w:val="Normal"/>
        <w:widowControl w:val="false"/>
        <w:ind w:left="2267" w:hanging="0"/>
        <w:jc w:val="both"/>
        <w:rPr>
          <w:rFonts w:ascii="Times New Roman" w:hAnsi="Times New Roman" w:eastAsia="Times New Roman" w:cs="Times New Roman"/>
          <w:i/>
          <w:i/>
          <w:sz w:val="20"/>
          <w:szCs w:val="20"/>
        </w:rPr>
      </w:pPr>
      <w:r>
        <w:rPr>
          <w:rFonts w:eastAsia="Times New Roman" w:cs="Times New Roman" w:ascii="Times New Roman" w:hAnsi="Times New Roman"/>
          <w:i/>
          <w:sz w:val="20"/>
          <w:szCs w:val="20"/>
        </w:rPr>
      </w:r>
    </w:p>
    <w:p>
      <w:pPr>
        <w:pStyle w:val="Normal"/>
        <w:widowControl w:val="false"/>
        <w:spacing w:lineRule="auto" w:line="360"/>
        <w:jc w:val="both"/>
        <w:rPr>
          <w:rFonts w:ascii="Times New Roman" w:hAnsi="Times New Roman" w:eastAsia="Times New Roman" w:cs="Times New Roman"/>
          <w:sz w:val="20"/>
          <w:szCs w:val="20"/>
        </w:rPr>
      </w:pPr>
      <w:r>
        <w:rPr>
          <w:rFonts w:eastAsia="Times New Roman" w:cs="Times New Roman" w:ascii="Times New Roman" w:hAnsi="Times New Roman"/>
        </w:rPr>
        <w:tab/>
        <w:t>A</w:t>
      </w:r>
      <w:r>
        <w:rPr>
          <w:rFonts w:eastAsia="Times New Roman" w:cs="Times New Roman" w:ascii="Times New Roman" w:hAnsi="Times New Roman"/>
          <w:color w:val="000000"/>
        </w:rPr>
        <w:t xml:space="preserve">profundar essas discussões levam a pensar sobre a natureza da Ciência não como um método consolidado, mas um conjunto de conhecimentos que reúne suas diversas características e modos de funcionamento </w:t>
      </w:r>
      <w:r>
        <w:rPr>
          <w:rFonts w:eastAsia="Times New Roman" w:cs="Times New Roman" w:ascii="Times New Roman" w:hAnsi="Times New Roman"/>
          <w:color w:val="000000" w:themeShade="bf"/>
        </w:rPr>
        <w:t xml:space="preserve">(ARTHURY; TERRAZZAN, 2018). </w:t>
      </w:r>
      <w:r>
        <w:rPr>
          <w:rFonts w:eastAsia="Times New Roman" w:cs="Times New Roman" w:ascii="Times New Roman" w:hAnsi="Times New Roman"/>
          <w:color w:val="000000"/>
        </w:rPr>
        <w:t xml:space="preserve">Isso provoca a construção de uma visão crítica e realista da Ciência com objetivos políticos e práticos, em contraponto aos pensamentos simplistas e ingênuos </w:t>
      </w:r>
      <w:r>
        <w:rPr>
          <w:rFonts w:eastAsia="Times New Roman" w:cs="Times New Roman" w:ascii="Times New Roman" w:hAnsi="Times New Roman"/>
          <w:color w:val="000000" w:themeShade="bf"/>
        </w:rPr>
        <w:t xml:space="preserve">(MÜNCHEN, 2016). </w:t>
      </w:r>
      <w:r>
        <w:rPr>
          <w:rFonts w:eastAsia="Times New Roman" w:cs="Times New Roman" w:ascii="Times New Roman" w:hAnsi="Times New Roman"/>
          <w:color w:val="000000"/>
        </w:rPr>
        <w:t>Há esse pensamento nos relatórios, em conformidade com a Educação do Campo, como por exemplo, esse trecho evidencia que</w:t>
      </w:r>
    </w:p>
    <w:p>
      <w:pPr>
        <w:pStyle w:val="Normal"/>
        <w:widowControl w:val="false"/>
        <w:ind w:left="2267" w:hanging="0"/>
        <w:jc w:val="both"/>
        <w:rPr>
          <w:rFonts w:ascii="Times New Roman" w:hAnsi="Times New Roman" w:eastAsia="Times New Roman" w:cs="Times New Roman"/>
          <w:i/>
          <w:i/>
          <w:sz w:val="20"/>
          <w:szCs w:val="20"/>
        </w:rPr>
      </w:pPr>
      <w:r>
        <w:rPr>
          <w:rFonts w:eastAsia="Times New Roman" w:cs="Times New Roman" w:ascii="Times New Roman" w:hAnsi="Times New Roman"/>
          <w:i/>
          <w:color w:val="000000"/>
          <w:sz w:val="20"/>
          <w:szCs w:val="20"/>
        </w:rPr>
        <w:t>“</w:t>
      </w:r>
      <w:r>
        <w:rPr>
          <w:rFonts w:eastAsia="Times New Roman" w:cs="Times New Roman" w:ascii="Times New Roman" w:hAnsi="Times New Roman"/>
          <w:i/>
          <w:color w:val="000000"/>
          <w:sz w:val="20"/>
          <w:szCs w:val="20"/>
        </w:rPr>
        <w:t xml:space="preserve">Podemos embasar que a educação do campo </w:t>
      </w:r>
      <w:r>
        <w:rPr>
          <w:rFonts w:eastAsia="Times New Roman" w:cs="Times New Roman" w:ascii="Times New Roman" w:hAnsi="Times New Roman"/>
          <w:i/>
          <w:sz w:val="20"/>
          <w:szCs w:val="20"/>
        </w:rPr>
        <w:t>vem tendo grandes desafios onde os sujeitos precisam lutar por seus direitos e por uma educação de qualidade, onde consigam ter um conhecimentos que não sejam diferentes de sua cultura e realidade, possibilitando para seus alunos nas escolas uma didática onde os mesmos possam estudar saberes científicos sem deixar de esquecer suas raízes e culturas” (R1.3, p. 7).</w:t>
      </w:r>
    </w:p>
    <w:p>
      <w:pPr>
        <w:pStyle w:val="Normal"/>
        <w:widowControl w:val="false"/>
        <w:ind w:left="2267" w:hanging="0"/>
        <w:jc w:val="both"/>
        <w:rPr>
          <w:rFonts w:ascii="Times New Roman" w:hAnsi="Times New Roman" w:eastAsia="Times New Roman" w:cs="Times New Roman"/>
          <w:i/>
          <w:i/>
          <w:sz w:val="20"/>
          <w:szCs w:val="20"/>
        </w:rPr>
      </w:pPr>
      <w:r>
        <w:rPr>
          <w:rFonts w:eastAsia="Times New Roman" w:cs="Times New Roman" w:ascii="Times New Roman" w:hAnsi="Times New Roman"/>
          <w:i/>
          <w:sz w:val="20"/>
          <w:szCs w:val="20"/>
        </w:rPr>
      </w:r>
    </w:p>
    <w:p>
      <w:pPr>
        <w:pStyle w:val="Normal"/>
        <w:widowControl w:val="false"/>
        <w:spacing w:lineRule="auto" w:line="360"/>
        <w:ind w:firstLine="720"/>
        <w:jc w:val="both"/>
        <w:rPr/>
      </w:pPr>
      <w:r>
        <w:rPr>
          <w:rFonts w:eastAsia="Times New Roman" w:cs="Times New Roman" w:ascii="Times New Roman" w:hAnsi="Times New Roman"/>
        </w:rPr>
        <w:t>Além disso, dialogar com os estudantes sobre os impactos das produções científicas e tecnologicas é um ponto importante da educação CTS, mas, na maioria das vezes, o foco são as problemáticas ambie</w:t>
      </w:r>
      <w:r>
        <w:rPr>
          <w:rFonts w:eastAsia="Times New Roman" w:cs="Times New Roman" w:ascii="Times New Roman" w:hAnsi="Times New Roman"/>
          <w:color w:val="000000"/>
        </w:rPr>
        <w:t>ntais, sem fazer as críticas aos processos de discussão das políticas de desenvolvimento científico e tecnológic</w:t>
      </w:r>
      <w:r>
        <w:rPr>
          <w:rFonts w:eastAsia="Times New Roman" w:cs="Times New Roman" w:ascii="Times New Roman" w:hAnsi="Times New Roman"/>
        </w:rPr>
        <w:t xml:space="preserve">o. Estão presente as ideias de que </w:t>
      </w:r>
    </w:p>
    <w:p>
      <w:pPr>
        <w:pStyle w:val="Normal"/>
        <w:widowControl w:val="false"/>
        <w:ind w:left="2267" w:hanging="0"/>
        <w:jc w:val="both"/>
        <w:rPr>
          <w:rFonts w:ascii="Times New Roman" w:hAnsi="Times New Roman" w:eastAsia="Times New Roman" w:cs="Times New Roman"/>
          <w:i/>
          <w:i/>
          <w:sz w:val="20"/>
          <w:szCs w:val="20"/>
        </w:rPr>
      </w:pPr>
      <w:r>
        <w:rPr>
          <w:rFonts w:eastAsia="Times New Roman" w:cs="Times New Roman" w:ascii="Times New Roman" w:hAnsi="Times New Roman"/>
          <w:i/>
          <w:sz w:val="20"/>
          <w:szCs w:val="20"/>
        </w:rPr>
        <w:t>“</w:t>
      </w:r>
      <w:r>
        <w:rPr>
          <w:rFonts w:eastAsia="Times New Roman" w:cs="Times New Roman" w:ascii="Times New Roman" w:hAnsi="Times New Roman"/>
          <w:i/>
          <w:sz w:val="20"/>
          <w:szCs w:val="20"/>
        </w:rPr>
        <w:t>A partir do tema central Meio Ambiente, Ciência e Sociedade, foi possível articular diretamente às Concepções de Educação do Campo no contexto urbano, pois ao trazer o meio ambiente, envolve-se o espaço de vivência, denuncia-se os impactos causados pela ação antrópica, bem como atenta-se ao cuidado com os diferentes espaços de origem que compreendem o universo dos sujeitos da turma. Quanto à Ciência, esta é vista como uma chave codificadora dos conceitos físicos, químicos e biológicos atuantes neste local” (R6.1, p. 20).</w:t>
      </w:r>
    </w:p>
    <w:p>
      <w:pPr>
        <w:pStyle w:val="Normal"/>
        <w:widowControl w:val="false"/>
        <w:ind w:left="2267" w:hanging="0"/>
        <w:jc w:val="both"/>
        <w:rPr>
          <w:rFonts w:ascii="Times New Roman" w:hAnsi="Times New Roman" w:eastAsia="Times New Roman" w:cs="Times New Roman"/>
          <w:i/>
          <w:i/>
          <w:sz w:val="20"/>
          <w:szCs w:val="20"/>
        </w:rPr>
      </w:pPr>
      <w:r>
        <w:rPr>
          <w:rFonts w:eastAsia="Times New Roman" w:cs="Times New Roman" w:ascii="Times New Roman" w:hAnsi="Times New Roman"/>
          <w:i/>
          <w:sz w:val="20"/>
          <w:szCs w:val="20"/>
        </w:rPr>
      </w:r>
    </w:p>
    <w:p>
      <w:pPr>
        <w:pStyle w:val="Normal"/>
        <w:widowControl w:val="false"/>
        <w:spacing w:lineRule="auto" w:line="360"/>
        <w:jc w:val="both"/>
        <w:rPr>
          <w:rFonts w:ascii="Times New Roman" w:hAnsi="Times New Roman" w:eastAsia="Times New Roman" w:cs="Times New Roman"/>
        </w:rPr>
      </w:pPr>
      <w:r>
        <w:rPr>
          <w:rFonts w:eastAsia="Times New Roman" w:cs="Times New Roman" w:ascii="Times New Roman" w:hAnsi="Times New Roman"/>
        </w:rPr>
        <w:tab/>
        <w:t xml:space="preserve">A partir </w:t>
      </w:r>
      <w:r>
        <w:rPr>
          <w:rFonts w:eastAsia="Times New Roman" w:cs="Times New Roman" w:ascii="Times New Roman" w:hAnsi="Times New Roman"/>
          <w:color w:val="000000"/>
        </w:rPr>
        <w:t>dessas contribuições vê-se a presença da CTS ainda como algo que não é referenciado, porém está presente nos relatórios em seus valores e princípios. O que tem um aspecto bem positivo ao pensar que é desse modo que os/as graduandos/as estão iniciando sua prática docente, elaborando maneiras que visam cada vez mais formar cidadãos conscientes de suas responsabilidades sociais e ambientais.</w:t>
      </w:r>
    </w:p>
    <w:p>
      <w:pPr>
        <w:pStyle w:val="Normal"/>
        <w:widowControl w:val="false"/>
        <w:spacing w:lineRule="auto" w:line="36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widowControl w:val="false"/>
        <w:spacing w:lineRule="auto" w:line="360"/>
        <w:jc w:val="both"/>
        <w:rPr/>
      </w:pPr>
      <w:r>
        <w:rPr>
          <w:rFonts w:eastAsia="Times New Roman" w:cs="Times New Roman" w:ascii="Times New Roman" w:hAnsi="Times New Roman"/>
          <w:b/>
          <w:color w:val="000000"/>
        </w:rPr>
        <w:t>5 Conclusão</w:t>
      </w:r>
      <w:r>
        <w:rPr>
          <w:rFonts w:eastAsia="Times New Roman" w:cs="Times New Roman" w:ascii="Times New Roman" w:hAnsi="Times New Roman"/>
          <w:b/>
        </w:rPr>
        <w:tab/>
      </w:r>
    </w:p>
    <w:p>
      <w:pPr>
        <w:pStyle w:val="Normal"/>
        <w:widowControl w:val="false"/>
        <w:spacing w:lineRule="auto" w:line="360"/>
        <w:ind w:firstLine="720"/>
        <w:jc w:val="both"/>
        <w:rPr>
          <w:rFonts w:ascii="Times New Roman" w:hAnsi="Times New Roman" w:eastAsia="Times New Roman" w:cs="Times New Roman"/>
          <w:color w:val="00B050"/>
        </w:rPr>
      </w:pPr>
      <w:r>
        <w:rPr>
          <w:rFonts w:eastAsia="Times New Roman" w:cs="Times New Roman" w:ascii="Times New Roman" w:hAnsi="Times New Roman"/>
        </w:rPr>
        <w:t>P</w:t>
      </w:r>
      <w:r>
        <w:rPr>
          <w:rFonts w:eastAsia="Times New Roman" w:cs="Times New Roman" w:ascii="Times New Roman" w:hAnsi="Times New Roman"/>
          <w:color w:val="000000"/>
        </w:rPr>
        <w:t>ode-se concluir que a educação CTS ainda é um campo pouco discutido nas Licenciaturas em Educação do Campo, o que se reflete na presença inexpressiva nos relatórios de forma explícita. Porém, aspectos de seus pressupostos estão registrados em quase todos os relatórios analisados, mostrando que há discussões que permeiam os objetivos CTS na educação na realidade dos cursos em pauta.</w:t>
      </w:r>
    </w:p>
    <w:p>
      <w:pPr>
        <w:pStyle w:val="Normal"/>
        <w:widowControl w:val="false"/>
        <w:spacing w:lineRule="auto" w:line="360"/>
        <w:jc w:val="both"/>
        <w:rPr/>
      </w:pPr>
      <w:r>
        <w:rPr>
          <w:rFonts w:eastAsia="Times New Roman" w:cs="Times New Roman" w:ascii="Times New Roman" w:hAnsi="Times New Roman"/>
          <w:color w:val="000000"/>
        </w:rPr>
        <w:tab/>
        <w:t>Portanto, análises como essas são de extrema importância, já que se faz necessário intensificar a integração dos conteúdos com as problemáticas enfrentadas pelos/as estudantes. Aprimorar e continuar esses processos é imprescindível para se estabelecer uma formação que coloque o/a estudante como um ser ativo ao entorno dos problemas sociais, formando assim pessoas em uma perspectiva CTS.</w:t>
      </w:r>
    </w:p>
    <w:p>
      <w:pPr>
        <w:pStyle w:val="Normal"/>
        <w:widowControl w:val="false"/>
        <w:spacing w:lineRule="auto" w:line="360"/>
        <w:jc w:val="both"/>
        <w:rPr/>
      </w:pPr>
      <w:r>
        <w:rPr>
          <w:rFonts w:eastAsia="Times New Roman" w:cs="Times New Roman" w:ascii="Times New Roman" w:hAnsi="Times New Roman"/>
          <w:b/>
          <w:color w:val="000000"/>
        </w:rPr>
        <w:t>Referências</w:t>
      </w:r>
    </w:p>
    <w:p>
      <w:pPr>
        <w:pStyle w:val="TextBody"/>
        <w:widowControl w:val="false"/>
        <w:spacing w:lineRule="auto" w:line="240"/>
        <w:jc w:val="both"/>
        <w:rPr>
          <w:color w:val="000000"/>
        </w:rPr>
      </w:pPr>
      <w:bookmarkStart w:id="0" w:name="docs-internal-guid-451d1d8d-7fff-41ce-82"/>
      <w:bookmarkEnd w:id="0"/>
      <w:r>
        <w:rPr>
          <w:rFonts w:eastAsia="Times New Roman" w:cs="Times New Roman" w:ascii="Times New Roman" w:hAnsi="Times New Roman"/>
          <w:b w:val="false"/>
          <w:i w:val="false"/>
          <w:caps w:val="false"/>
          <w:smallCaps w:val="false"/>
          <w:strike w:val="false"/>
          <w:dstrike w:val="false"/>
          <w:color w:val="000000"/>
          <w:sz w:val="22"/>
          <w:highlight w:val="white"/>
          <w:u w:val="none"/>
          <w:effect w:val="none"/>
        </w:rPr>
        <w:t xml:space="preserve">CALDART, R. S. </w:t>
      </w:r>
      <w:r>
        <w:rPr>
          <w:rFonts w:eastAsia="Times New Roman" w:cs="Times New Roman" w:ascii="Times New Roman" w:hAnsi="Times New Roman"/>
          <w:b w:val="false"/>
          <w:i/>
          <w:caps w:val="false"/>
          <w:smallCaps w:val="false"/>
          <w:strike w:val="false"/>
          <w:dstrike w:val="false"/>
          <w:color w:val="000000"/>
          <w:sz w:val="22"/>
          <w:highlight w:val="white"/>
          <w:u w:val="none"/>
          <w:effect w:val="none"/>
        </w:rPr>
        <w:t>et. al</w:t>
      </w:r>
      <w:r>
        <w:rPr>
          <w:rFonts w:eastAsia="Times New Roman" w:cs="Times New Roman" w:ascii="Times New Roman" w:hAnsi="Times New Roman"/>
          <w:b/>
          <w:caps w:val="false"/>
          <w:smallCaps w:val="false"/>
          <w:strike w:val="false"/>
          <w:dstrike w:val="false"/>
          <w:color w:val="000000"/>
          <w:highlight w:val="white"/>
          <w:u w:val="none"/>
          <w:effect w:val="none"/>
        </w:rPr>
        <w:t xml:space="preserve"> </w:t>
      </w:r>
      <w:r>
        <w:rPr>
          <w:rFonts w:eastAsia="Times New Roman" w:cs="Times New Roman" w:ascii="Times New Roman" w:hAnsi="Times New Roman"/>
          <w:b w:val="false"/>
          <w:i w:val="false"/>
          <w:caps w:val="false"/>
          <w:smallCaps w:val="false"/>
          <w:strike w:val="false"/>
          <w:dstrike w:val="false"/>
          <w:color w:val="000000"/>
          <w:sz w:val="22"/>
          <w:highlight w:val="white"/>
          <w:u w:val="none"/>
          <w:effect w:val="none"/>
        </w:rPr>
        <w:t xml:space="preserve">(Org.); </w:t>
      </w:r>
      <w:r>
        <w:rPr>
          <w:rFonts w:eastAsia="Times New Roman" w:cs="Times New Roman" w:ascii="Times New Roman" w:hAnsi="Times New Roman"/>
          <w:b/>
          <w:i w:val="false"/>
          <w:caps w:val="false"/>
          <w:smallCaps w:val="false"/>
          <w:strike w:val="false"/>
          <w:dstrike w:val="false"/>
          <w:color w:val="000000"/>
          <w:sz w:val="22"/>
          <w:highlight w:val="white"/>
          <w:u w:val="none"/>
          <w:effect w:val="none"/>
        </w:rPr>
        <w:t>Dicionário da Educação do Campo</w:t>
      </w:r>
      <w:r>
        <w:rPr>
          <w:rFonts w:eastAsia="Times New Roman" w:cs="Times New Roman" w:ascii="Times New Roman" w:hAnsi="Times New Roman"/>
          <w:b w:val="false"/>
          <w:i w:val="false"/>
          <w:caps w:val="false"/>
          <w:smallCaps w:val="false"/>
          <w:strike w:val="false"/>
          <w:dstrike w:val="false"/>
          <w:color w:val="000000"/>
          <w:sz w:val="22"/>
          <w:highlight w:val="white"/>
          <w:u w:val="none"/>
          <w:effect w:val="none"/>
        </w:rPr>
        <w:t>. Rio de Janeiro, São Paulo: Escola Politécnica de Saúde Joaquim Venâncio, Expressão Popular, 2012. </w:t>
      </w:r>
    </w:p>
    <w:p>
      <w:pPr>
        <w:pStyle w:val="Normal"/>
        <w:spacing w:lineRule="auto" w:line="240" w:before="240" w:after="240"/>
        <w:jc w:val="both"/>
        <w:rPr/>
      </w:pPr>
      <w:hyperlink r:id="rId2">
        <w:r>
          <w:rPr>
            <w:rStyle w:val="Style"/>
            <w:rFonts w:eastAsia="Times New Roman" w:cs="Times New Roman" w:ascii="Times New Roman" w:hAnsi="Times New Roman"/>
            <w:color w:val="000000"/>
            <w:sz w:val="22"/>
            <w:szCs w:val="22"/>
            <w:highlight w:val="white"/>
          </w:rPr>
          <w:t>CHASSOT, A. I.</w:t>
        </w:r>
      </w:hyperlink>
      <w:r>
        <w:rPr>
          <w:rFonts w:eastAsia="Times New Roman" w:cs="Times New Roman" w:ascii="Times New Roman" w:hAnsi="Times New Roman"/>
          <w:color w:val="000000"/>
          <w:sz w:val="22"/>
          <w:szCs w:val="22"/>
          <w:highlight w:val="white"/>
        </w:rPr>
        <w:t xml:space="preserve"> Alfabetização científica: uma possibilidade para a inclusão social. </w:t>
      </w:r>
      <w:r>
        <w:rPr>
          <w:rFonts w:eastAsia="Times New Roman" w:cs="Times New Roman" w:ascii="Times New Roman" w:hAnsi="Times New Roman"/>
          <w:b/>
          <w:color w:val="000000"/>
          <w:sz w:val="22"/>
          <w:szCs w:val="22"/>
          <w:highlight w:val="white"/>
        </w:rPr>
        <w:t>Revista Brasileira de Educação</w:t>
      </w:r>
      <w:r>
        <w:rPr>
          <w:rFonts w:eastAsia="Times New Roman" w:cs="Times New Roman" w:ascii="Times New Roman" w:hAnsi="Times New Roman"/>
          <w:color w:val="000000"/>
          <w:sz w:val="22"/>
          <w:szCs w:val="22"/>
          <w:highlight w:val="white"/>
        </w:rPr>
        <w:t xml:space="preserve">, São Paulo, v. 23, n.22, p.89-100, 2003. Disponível em: </w:t>
      </w:r>
      <w:r>
        <w:rPr>
          <w:rFonts w:eastAsia="Times New Roman" w:cs="Times New Roman" w:ascii="Times New Roman" w:hAnsi="Times New Roman"/>
          <w:color w:val="000000"/>
          <w:sz w:val="22"/>
          <w:szCs w:val="22"/>
        </w:rPr>
        <w:t>https://www.scielo.br/pdf/rbedu/n22/n22a09.pdf</w:t>
      </w:r>
      <w:r>
        <w:rPr>
          <w:rFonts w:eastAsia="Times New Roman" w:cs="Times New Roman" w:ascii="Times New Roman" w:hAnsi="Times New Roman"/>
          <w:color w:val="000000"/>
          <w:sz w:val="22"/>
          <w:szCs w:val="22"/>
          <w:highlight w:val="white"/>
        </w:rPr>
        <w:t>. Acesso em: 10 maio 2020.</w:t>
      </w:r>
    </w:p>
    <w:p>
      <w:pPr>
        <w:pStyle w:val="Normal"/>
        <w:spacing w:lineRule="auto" w:line="240" w:before="240" w:after="240"/>
        <w:jc w:val="both"/>
        <w:rPr>
          <w:rFonts w:ascii="Times New Roman" w:hAnsi="Times New Roman" w:eastAsia="Times New Roman" w:cs="Times New Roman"/>
          <w:color w:val="000000"/>
          <w:sz w:val="22"/>
          <w:szCs w:val="22"/>
          <w:highlight w:val="white"/>
        </w:rPr>
      </w:pPr>
      <w:r>
        <w:rPr>
          <w:rFonts w:eastAsia="Times New Roman" w:cs="Times New Roman"/>
          <w:b w:val="false"/>
          <w:i w:val="false"/>
          <w:caps w:val="false"/>
          <w:smallCaps w:val="false"/>
          <w:color w:val="000000"/>
          <w:spacing w:val="0"/>
          <w:sz w:val="22"/>
          <w:szCs w:val="22"/>
          <w:highlight w:val="white"/>
        </w:rPr>
        <w:t>FILHO, D. B. et al. Alfabetização científica sob o enfoque da ciência, tecnologia e sociedade: implicações para a formação inicial e continuada de professores. </w:t>
      </w:r>
      <w:r>
        <w:rPr>
          <w:rFonts w:eastAsia="Times New Roman" w:cs="Times New Roman"/>
          <w:b/>
          <w:bCs/>
          <w:i w:val="false"/>
          <w:caps w:val="false"/>
          <w:smallCaps w:val="false"/>
          <w:color w:val="000000"/>
          <w:spacing w:val="0"/>
          <w:sz w:val="22"/>
          <w:szCs w:val="22"/>
          <w:highlight w:val="white"/>
        </w:rPr>
        <w:t>Revista Electrónica de Enseñanza de las Ciencias</w:t>
      </w:r>
      <w:r>
        <w:rPr>
          <w:rFonts w:eastAsia="Times New Roman" w:cs="Times New Roman"/>
          <w:b w:val="false"/>
          <w:i w:val="false"/>
          <w:caps w:val="false"/>
          <w:smallCaps w:val="false"/>
          <w:color w:val="000000"/>
          <w:spacing w:val="0"/>
          <w:sz w:val="22"/>
          <w:szCs w:val="22"/>
          <w:highlight w:val="white"/>
        </w:rPr>
        <w:t>, v. 12, n. s2, 2013.</w:t>
      </w:r>
    </w:p>
    <w:p>
      <w:pPr>
        <w:pStyle w:val="Normal"/>
        <w:spacing w:lineRule="auto" w:line="240" w:before="240" w:after="240"/>
        <w:jc w:val="both"/>
        <w:rPr>
          <w:rFonts w:ascii="Times New Roman" w:hAnsi="Times New Roman" w:eastAsia="Times New Roman" w:cs="Times New Roman"/>
          <w:color w:val="00B050"/>
          <w:sz w:val="22"/>
          <w:szCs w:val="22"/>
          <w:highlight w:val="white"/>
        </w:rPr>
      </w:pPr>
      <w:r>
        <w:rPr>
          <w:rFonts w:eastAsia="Times New Roman" w:cs="Times New Roman" w:ascii="Times New Roman" w:hAnsi="Times New Roman"/>
          <w:color w:val="000000"/>
          <w:sz w:val="22"/>
          <w:szCs w:val="22"/>
          <w:highlight w:val="white"/>
        </w:rPr>
        <w:t xml:space="preserve">GIL, A. C. </w:t>
      </w:r>
      <w:r>
        <w:rPr>
          <w:rFonts w:eastAsia="Times New Roman" w:cs="Times New Roman" w:ascii="Times New Roman" w:hAnsi="Times New Roman"/>
          <w:b/>
          <w:color w:val="000000"/>
          <w:sz w:val="22"/>
          <w:szCs w:val="22"/>
          <w:highlight w:val="white"/>
        </w:rPr>
        <w:t>Métodos e técnicas de pesquisa social</w:t>
      </w:r>
      <w:r>
        <w:rPr>
          <w:rFonts w:eastAsia="Times New Roman" w:cs="Times New Roman" w:ascii="Times New Roman" w:hAnsi="Times New Roman"/>
          <w:color w:val="000000"/>
          <w:sz w:val="22"/>
          <w:szCs w:val="22"/>
          <w:highlight w:val="white"/>
        </w:rPr>
        <w:t xml:space="preserve">. 7. ed.  São Paulo: Atlas, 2008. </w:t>
      </w:r>
    </w:p>
    <w:p>
      <w:pPr>
        <w:pStyle w:val="Normal"/>
        <w:spacing w:lineRule="auto" w:line="240" w:before="240" w:after="240"/>
        <w:jc w:val="both"/>
        <w:rPr/>
      </w:pPr>
      <w:r>
        <w:rPr>
          <w:rFonts w:eastAsia="Times New Roman" w:cs="Times New Roman" w:ascii="Times New Roman" w:hAnsi="Times New Roman"/>
          <w:color w:val="000000"/>
          <w:sz w:val="22"/>
          <w:szCs w:val="22"/>
          <w:highlight w:val="white"/>
        </w:rPr>
        <w:t xml:space="preserve">MÜNCHEN, S. A inserção da perspectiva ciência-tecnologia-sociedade na formação inicial de professores de Química. 2016. </w:t>
      </w:r>
      <w:r>
        <w:rPr>
          <w:rFonts w:eastAsia="Times New Roman" w:cs="Times New Roman" w:ascii="Times New Roman" w:hAnsi="Times New Roman"/>
          <w:color w:val="000000"/>
          <w:sz w:val="22"/>
          <w:szCs w:val="22"/>
        </w:rPr>
        <w:t xml:space="preserve">Tese (Doutorado em Educação em Ciências) - </w:t>
      </w:r>
      <w:hyperlink r:id="rId3">
        <w:r>
          <w:rPr>
            <w:rStyle w:val="Style"/>
            <w:rFonts w:eastAsia="Times New Roman" w:cs="Times New Roman" w:ascii="Times New Roman" w:hAnsi="Times New Roman"/>
            <w:color w:val="000000"/>
            <w:sz w:val="22"/>
            <w:szCs w:val="22"/>
          </w:rPr>
          <w:t>Programa de Pós-Graduação em Educação em Ciências: Química da Vida e Saúde</w:t>
        </w:r>
      </w:hyperlink>
      <w:r>
        <w:rPr>
          <w:rFonts w:eastAsia="Times New Roman" w:cs="Times New Roman" w:ascii="Times New Roman" w:hAnsi="Times New Roman"/>
          <w:color w:val="000000"/>
          <w:sz w:val="22"/>
          <w:szCs w:val="22"/>
        </w:rPr>
        <w:t xml:space="preserve"> da Universidade Federal de Santa Maria.</w:t>
      </w:r>
      <w:r>
        <w:rPr>
          <w:rFonts w:eastAsia="Times New Roman" w:cs="Times New Roman" w:ascii="Times New Roman" w:hAnsi="Times New Roman"/>
          <w:color w:val="000000"/>
          <w:sz w:val="22"/>
          <w:szCs w:val="22"/>
          <w:highlight w:val="white"/>
        </w:rPr>
        <w:t xml:space="preserve"> Santa Maria, 2016.</w:t>
      </w:r>
    </w:p>
    <w:p>
      <w:pPr>
        <w:pStyle w:val="Normal"/>
        <w:spacing w:lineRule="auto" w:line="240" w:before="240" w:after="240"/>
        <w:jc w:val="both"/>
        <w:rPr/>
      </w:pPr>
      <w:hyperlink r:id="rId4">
        <w:r>
          <w:rPr>
            <w:rStyle w:val="Style"/>
            <w:rFonts w:eastAsia="Times New Roman" w:cs="Times New Roman" w:ascii="Times New Roman" w:hAnsi="Times New Roman"/>
            <w:color w:val="000000"/>
            <w:sz w:val="22"/>
            <w:szCs w:val="22"/>
            <w:highlight w:val="white"/>
          </w:rPr>
          <w:t>SANTOS, W. L. P.</w:t>
        </w:r>
      </w:hyperlink>
      <w:r>
        <w:rPr>
          <w:rFonts w:eastAsia="Times New Roman" w:cs="Times New Roman" w:ascii="Times New Roman" w:hAnsi="Times New Roman"/>
          <w:color w:val="000000"/>
          <w:sz w:val="22"/>
          <w:szCs w:val="22"/>
          <w:highlight w:val="white"/>
        </w:rPr>
        <w:t xml:space="preserve">; </w:t>
      </w:r>
      <w:hyperlink r:id="rId5">
        <w:r>
          <w:rPr>
            <w:rStyle w:val="Style"/>
            <w:rFonts w:eastAsia="Times New Roman" w:cs="Times New Roman" w:ascii="Times New Roman" w:hAnsi="Times New Roman"/>
            <w:color w:val="000000"/>
            <w:sz w:val="22"/>
            <w:szCs w:val="22"/>
            <w:highlight w:val="white"/>
          </w:rPr>
          <w:t>MORTIMER, E. F.</w:t>
        </w:r>
      </w:hyperlink>
      <w:r>
        <w:rPr>
          <w:rFonts w:eastAsia="Times New Roman" w:cs="Times New Roman" w:ascii="Times New Roman" w:hAnsi="Times New Roman"/>
          <w:color w:val="000000"/>
          <w:sz w:val="22"/>
          <w:szCs w:val="22"/>
          <w:highlight w:val="white"/>
        </w:rPr>
        <w:t xml:space="preserve"> Uma análise de pressupostos teóricos da abordagem c-t-s (ciência-tecnologia-sociedade) no contexto da educação brasileira. </w:t>
      </w:r>
      <w:r>
        <w:rPr>
          <w:rFonts w:eastAsia="Times New Roman" w:cs="Times New Roman" w:ascii="Times New Roman" w:hAnsi="Times New Roman"/>
          <w:b/>
          <w:color w:val="000000"/>
          <w:sz w:val="22"/>
          <w:szCs w:val="22"/>
          <w:highlight w:val="white"/>
        </w:rPr>
        <w:t>Pesquisa em Educação em Ciências</w:t>
      </w:r>
      <w:r>
        <w:rPr>
          <w:rFonts w:eastAsia="Times New Roman" w:cs="Times New Roman" w:ascii="Times New Roman" w:hAnsi="Times New Roman"/>
          <w:color w:val="000000"/>
          <w:sz w:val="22"/>
          <w:szCs w:val="22"/>
          <w:highlight w:val="white"/>
        </w:rPr>
        <w:t xml:space="preserve">, Belo Horizonte, v. 2, n.2, p.110-132, 2000. Disponível em: </w:t>
      </w:r>
      <w:r>
        <w:rPr>
          <w:color w:val="000000"/>
        </w:rPr>
        <w:t>https://www.scielo.br/pdf/epec/v2n2/1983-2117-epec-2-02-00110.pdf. Acesso em: 12 maio 2020.</w:t>
      </w:r>
    </w:p>
    <w:p>
      <w:pPr>
        <w:pStyle w:val="Normal"/>
        <w:spacing w:lineRule="auto" w:line="240" w:before="240" w:after="240"/>
        <w:jc w:val="both"/>
        <w:rPr/>
      </w:pPr>
      <w:hyperlink r:id="rId6">
        <w:r>
          <w:rPr>
            <w:rStyle w:val="Style"/>
            <w:rFonts w:eastAsia="Times New Roman" w:cs="Times New Roman" w:ascii="Times New Roman" w:hAnsi="Times New Roman"/>
            <w:color w:val="000000"/>
            <w:sz w:val="22"/>
            <w:szCs w:val="22"/>
            <w:highlight w:val="white"/>
          </w:rPr>
          <w:t>TERRAZZAN, E. A.</w:t>
        </w:r>
      </w:hyperlink>
      <w:r>
        <w:rPr>
          <w:rFonts w:eastAsia="Times New Roman" w:cs="Times New Roman" w:ascii="Times New Roman" w:hAnsi="Times New Roman"/>
          <w:color w:val="000000"/>
          <w:sz w:val="22"/>
          <w:szCs w:val="22"/>
          <w:highlight w:val="white"/>
        </w:rPr>
        <w:t xml:space="preserve">; </w:t>
      </w:r>
      <w:hyperlink r:id="rId7">
        <w:r>
          <w:rPr>
            <w:rStyle w:val="Style"/>
            <w:rFonts w:eastAsia="Times New Roman" w:cs="Times New Roman" w:ascii="Times New Roman" w:hAnsi="Times New Roman"/>
            <w:color w:val="000000"/>
            <w:sz w:val="22"/>
            <w:szCs w:val="22"/>
            <w:highlight w:val="white"/>
          </w:rPr>
          <w:t>ARTHURY, L. H. M.</w:t>
        </w:r>
      </w:hyperlink>
      <w:r>
        <w:rPr>
          <w:rFonts w:eastAsia="Times New Roman" w:cs="Times New Roman" w:ascii="Times New Roman" w:hAnsi="Times New Roman"/>
          <w:color w:val="000000"/>
          <w:sz w:val="22"/>
          <w:szCs w:val="22"/>
          <w:highlight w:val="white"/>
        </w:rPr>
        <w:t xml:space="preserve"> A natureza da ciência na escola por meio de um material didático sobre a Gravitação. </w:t>
      </w:r>
      <w:r>
        <w:rPr>
          <w:rFonts w:eastAsia="Times New Roman" w:cs="Times New Roman" w:ascii="Times New Roman" w:hAnsi="Times New Roman"/>
          <w:b/>
          <w:color w:val="000000"/>
          <w:sz w:val="22"/>
          <w:szCs w:val="22"/>
          <w:highlight w:val="white"/>
        </w:rPr>
        <w:t>Revista Brasileira de Ensino de Física</w:t>
      </w:r>
      <w:r>
        <w:rPr>
          <w:rFonts w:eastAsia="Times New Roman" w:cs="Times New Roman" w:ascii="Times New Roman" w:hAnsi="Times New Roman"/>
          <w:color w:val="000000"/>
          <w:sz w:val="22"/>
          <w:szCs w:val="22"/>
          <w:highlight w:val="white"/>
        </w:rPr>
        <w:t xml:space="preserve"> (online), v. 40, p.</w:t>
      </w:r>
      <w:r>
        <w:rPr>
          <w:color w:val="000000"/>
        </w:rPr>
        <w:t xml:space="preserve"> e3403</w:t>
      </w:r>
      <w:r>
        <w:rPr>
          <w:rFonts w:eastAsia="Times New Roman" w:cs="Times New Roman" w:ascii="Times New Roman" w:hAnsi="Times New Roman"/>
          <w:color w:val="000000"/>
          <w:sz w:val="22"/>
          <w:szCs w:val="22"/>
          <w:highlight w:val="white"/>
        </w:rPr>
        <w:t xml:space="preserve"> -</w:t>
      </w:r>
      <w:r>
        <w:rPr>
          <w:color w:val="000000"/>
        </w:rPr>
        <w:t>e3403-</w:t>
      </w:r>
      <w:r>
        <w:rPr>
          <w:rFonts w:eastAsia="Times New Roman" w:cs="Times New Roman" w:ascii="Times New Roman" w:hAnsi="Times New Roman"/>
          <w:color w:val="000000"/>
          <w:sz w:val="22"/>
          <w:szCs w:val="22"/>
          <w:highlight w:val="white"/>
        </w:rPr>
        <w:t xml:space="preserve">21, 2018. Disponível em: </w:t>
      </w:r>
      <w:r>
        <w:rPr>
          <w:color w:val="000000"/>
        </w:rPr>
        <w:t>https://www.scielo.br/pdf/rbef/v40n3/1806-9126-RBEF-40-3-e3403.pdf. Acesso em: 9 maio 2020.</w:t>
      </w:r>
    </w:p>
    <w:p>
      <w:pPr>
        <w:pStyle w:val="Normal"/>
        <w:widowControl w:val="false"/>
        <w:spacing w:lineRule="auto" w:line="360"/>
        <w:jc w:val="both"/>
        <w:rPr>
          <w:rFonts w:ascii="Times New Roman" w:hAnsi="Times New Roman" w:eastAsia="Times New Roman" w:cs="Times New Roman"/>
          <w:color w:val="000000"/>
        </w:rPr>
      </w:pPr>
      <w:r>
        <w:rPr>
          <w:rFonts w:eastAsia="Times New Roman" w:cs="Times New Roman" w:ascii="Times New Roman" w:hAnsi="Times New Roman"/>
          <w:b/>
          <w:color w:val="000000"/>
        </w:rPr>
        <w:t xml:space="preserve">Palavras-chave: </w:t>
      </w:r>
      <w:r>
        <w:rPr>
          <w:rFonts w:eastAsia="Times New Roman" w:cs="Times New Roman" w:ascii="Times New Roman" w:hAnsi="Times New Roman"/>
        </w:rPr>
        <w:t>Formação Inicial de Professores; Ensino de Ciênci</w:t>
      </w:r>
      <w:r>
        <w:rPr>
          <w:rFonts w:eastAsia="Times New Roman" w:cs="Times New Roman" w:ascii="Times New Roman" w:hAnsi="Times New Roman"/>
          <w:color w:val="000000"/>
        </w:rPr>
        <w:t xml:space="preserve">as; </w:t>
      </w:r>
      <w:r>
        <w:rPr>
          <w:rFonts w:eastAsia="Times New Roman" w:cs="Times New Roman" w:ascii="Times New Roman" w:hAnsi="Times New Roman"/>
        </w:rPr>
        <w:t>Ciência-Tecnologia-Sociedade</w:t>
      </w:r>
      <w:r>
        <w:rPr>
          <w:rFonts w:eastAsia="Times New Roman" w:cs="Times New Roman" w:ascii="Times New Roman" w:hAnsi="Times New Roman"/>
          <w:color w:val="000000"/>
        </w:rPr>
        <w:t xml:space="preserve">. </w:t>
      </w:r>
    </w:p>
    <w:p>
      <w:pPr>
        <w:pStyle w:val="Normal"/>
        <w:widowControl w:val="false"/>
        <w:spacing w:lineRule="auto" w:line="360"/>
        <w:jc w:val="both"/>
        <w:rPr/>
      </w:pPr>
      <w:r>
        <w:rPr>
          <w:rFonts w:eastAsia="Times New Roman" w:cs="Times New Roman" w:ascii="Times New Roman" w:hAnsi="Times New Roman"/>
          <w:b/>
          <w:color w:val="00000A"/>
        </w:rPr>
        <w:t xml:space="preserve">Financiamento: </w:t>
      </w:r>
      <w:r>
        <w:rPr>
          <w:rFonts w:eastAsia="Times New Roman" w:cs="Times New Roman" w:ascii="Times New Roman" w:hAnsi="Times New Roman"/>
          <w:color w:val="00000A"/>
        </w:rPr>
        <w:t>UFFS - Universidade Federal da Fronteira Sul</w:t>
      </w:r>
    </w:p>
    <w:sectPr>
      <w:headerReference w:type="default" r:id="rId8"/>
      <w:footnotePr>
        <w:numFmt w:val="decimal"/>
      </w:footnotePr>
      <w:type w:val="nextPage"/>
      <w:pgSz w:w="11906" w:h="16838"/>
      <w:pgMar w:left="1134" w:right="1134" w:header="1134" w:top="1969" w:footer="0" w:bottom="1134"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Segoe UI">
    <w:charset w:val="01"/>
    <w:family w:val="roman"/>
    <w:pitch w:val="variable"/>
  </w:font>
  <w:font w:name="Liberation Sans">
    <w:altName w:val="Arial"/>
    <w:charset w:val="01"/>
    <w:family w:val="roman"/>
    <w:pitch w:val="variable"/>
  </w:font>
  <w:font w:name="Georgia">
    <w:charset w:val="01"/>
    <w:family w:val="roman"/>
    <w:pitch w:val="variable"/>
  </w:font>
  <w:font w:name="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Footnote"/>
        <w:rPr/>
      </w:pPr>
      <w:r>
        <w:rPr>
          <w:rStyle w:val="FootnoteCharacters"/>
        </w:rPr>
        <w:footnoteRef/>
      </w:r>
      <w:r>
        <w:rPr/>
        <w:t xml:space="preserve">  </w:t>
      </w:r>
      <w:r>
        <w:rPr>
          <w:rFonts w:ascii="Liberation Serif" w:hAnsi="Liberation Serif"/>
          <w:color w:val="000000"/>
          <w:sz w:val="20"/>
          <w:szCs w:val="20"/>
        </w:rPr>
        <w:t xml:space="preserve">Trabalho referente ao projeto “A formação de professores de Ciências da Natureza: desafios na licenciatura por área de conhecimento”, oriundo do </w:t>
      </w:r>
      <w:r>
        <w:rPr>
          <w:rFonts w:ascii="Liberation Serif" w:hAnsi="Liberation Serif"/>
          <w:b w:val="false"/>
          <w:i w:val="false"/>
          <w:caps w:val="false"/>
          <w:smallCaps w:val="false"/>
          <w:color w:val="000000"/>
          <w:spacing w:val="0"/>
          <w:sz w:val="20"/>
          <w:szCs w:val="20"/>
        </w:rPr>
        <w:t>Edital Nº 459</w:t>
      </w:r>
    </w:p>
  </w:footnote>
  <w:footnote w:id="3">
    <w:p>
      <w:pPr>
        <w:pStyle w:val="Normal"/>
        <w:ind w:left="170" w:hanging="170"/>
        <w:jc w:val="both"/>
        <w:rPr/>
      </w:pPr>
      <w:r>
        <w:rPr>
          <w:rStyle w:val="FootnoteCharacters"/>
        </w:rPr>
        <w:footnoteRef/>
      </w:r>
      <w:r>
        <w:rPr>
          <w:rFonts w:cs="Times New Roman" w:ascii="Times New Roman" w:hAnsi="Times New Roman"/>
          <w:color w:val="00B050"/>
          <w:sz w:val="20"/>
          <w:szCs w:val="20"/>
        </w:rPr>
        <w:tab/>
        <w:t xml:space="preserve"> </w:t>
      </w:r>
      <w:r>
        <w:rPr>
          <w:rFonts w:eastAsia="Times New Roman" w:cs="Times New Roman" w:ascii="Times New Roman" w:hAnsi="Times New Roman"/>
          <w:color w:val="000000"/>
          <w:sz w:val="20"/>
          <w:szCs w:val="20"/>
        </w:rPr>
        <w:t>Estudante do curso de Graduação Interdisciplinar Educação do Campo: Ciências da Natureza - Licenciatura, Universidade Federal da Fronteira Sul,</w:t>
      </w:r>
      <w:r>
        <w:rPr>
          <w:rFonts w:eastAsia="Times New Roman" w:cs="Times New Roman" w:ascii="Times New Roman" w:hAnsi="Times New Roman"/>
          <w:i/>
          <w:color w:val="000000"/>
          <w:sz w:val="20"/>
          <w:szCs w:val="20"/>
        </w:rPr>
        <w:t xml:space="preserve"> Campus Erechim, </w:t>
      </w:r>
      <w:r>
        <w:rPr>
          <w:rFonts w:eastAsia="Times New Roman" w:cs="Times New Roman" w:ascii="Times New Roman" w:hAnsi="Times New Roman"/>
          <w:color w:val="000000"/>
          <w:sz w:val="20"/>
          <w:szCs w:val="20"/>
        </w:rPr>
        <w:t>contato: argentonpoa@gmail.com</w:t>
      </w:r>
    </w:p>
  </w:footnote>
  <w:footnote w:id="4">
    <w:p>
      <w:pPr>
        <w:pStyle w:val="Normal"/>
        <w:ind w:left="170" w:hanging="170"/>
        <w:rPr/>
      </w:pPr>
      <w:r>
        <w:rPr>
          <w:rStyle w:val="FootnoteCharacters"/>
        </w:rPr>
        <w:footnoteRef/>
      </w:r>
      <w:r>
        <w:rPr>
          <w:rFonts w:cs="Times New Roman" w:ascii="Times New Roman" w:hAnsi="Times New Roman"/>
          <w:color w:val="00B050"/>
          <w:sz w:val="20"/>
          <w:szCs w:val="20"/>
        </w:rPr>
        <w:tab/>
        <w:t xml:space="preserve">  </w:t>
      </w:r>
      <w:r>
        <w:rPr>
          <w:rFonts w:eastAsia="Times New Roman" w:cs="Times New Roman" w:ascii="Times New Roman" w:hAnsi="Times New Roman"/>
          <w:color w:val="000000"/>
          <w:sz w:val="20"/>
          <w:szCs w:val="20"/>
        </w:rPr>
        <w:t>Estudante do curso de Graduação Interdisciplinar Educação do Campo: Ciências da Natureza - Licenciatura, Universidade Federal da Fronteira Sul,</w:t>
      </w:r>
      <w:r>
        <w:rPr>
          <w:rFonts w:eastAsia="Times New Roman" w:cs="Times New Roman" w:ascii="Times New Roman" w:hAnsi="Times New Roman"/>
          <w:i/>
          <w:color w:val="000000"/>
          <w:sz w:val="20"/>
          <w:szCs w:val="20"/>
        </w:rPr>
        <w:t xml:space="preserve"> Campus Erechim, </w:t>
      </w:r>
      <w:r>
        <w:rPr>
          <w:rFonts w:eastAsia="Times New Roman" w:cs="Times New Roman" w:ascii="Times New Roman" w:hAnsi="Times New Roman"/>
          <w:color w:val="000000"/>
          <w:sz w:val="20"/>
          <w:szCs w:val="20"/>
        </w:rPr>
        <w:t>contato: raquelferron@hotmail.com</w:t>
      </w:r>
    </w:p>
  </w:footnote>
  <w:footnote w:id="5">
    <w:p>
      <w:pPr>
        <w:pStyle w:val="Normal"/>
        <w:ind w:left="170" w:hanging="170"/>
        <w:rPr/>
      </w:pPr>
      <w:r>
        <w:rPr>
          <w:rStyle w:val="FootnoteCharacters"/>
        </w:rPr>
        <w:footnoteRef/>
      </w:r>
      <w:r>
        <w:rPr>
          <w:rFonts w:eastAsia="Times New Roman" w:cs="Times New Roman" w:ascii="Times New Roman" w:hAnsi="Times New Roman"/>
          <w:color w:val="000000"/>
          <w:sz w:val="20"/>
          <w:szCs w:val="20"/>
        </w:rPr>
        <w:tab/>
        <w:t xml:space="preserve"> </w:t>
      </w:r>
      <w:r>
        <w:rPr>
          <w:rFonts w:eastAsia="Times New Roman" w:cs="Times New Roman" w:ascii="Times New Roman" w:hAnsi="Times New Roman"/>
          <w:color w:val="000000"/>
          <w:sz w:val="20"/>
          <w:szCs w:val="20"/>
        </w:rPr>
        <w:t xml:space="preserve">Professora da Universidade Federal da Fronteira Sul, </w:t>
      </w:r>
      <w:r>
        <w:rPr>
          <w:rFonts w:eastAsia="Times New Roman" w:cs="Times New Roman" w:ascii="Times New Roman" w:hAnsi="Times New Roman"/>
          <w:i/>
          <w:color w:val="000000"/>
          <w:sz w:val="20"/>
          <w:szCs w:val="20"/>
        </w:rPr>
        <w:t>Campus</w:t>
      </w:r>
      <w:r>
        <w:rPr>
          <w:rFonts w:eastAsia="Times New Roman" w:cs="Times New Roman" w:ascii="Times New Roman" w:hAnsi="Times New Roman"/>
          <w:color w:val="000000"/>
          <w:sz w:val="20"/>
          <w:szCs w:val="20"/>
        </w:rPr>
        <w:t xml:space="preserve"> Erechim, contato: sinara.munchen@uffs.edu.br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20"/>
        <w:tab w:val="center" w:pos="4819" w:leader="none"/>
        <w:tab w:val="right" w:pos="9638" w:leader="none"/>
      </w:tabs>
      <w:rPr>
        <w:color w:val="000000"/>
      </w:rPr>
    </w:pPr>
    <w:r>
      <w:rPr>
        <w:color w:val="000000"/>
      </w:rPr>
      <w:drawing>
        <wp:anchor behindDoc="1" distT="0" distB="0" distL="0" distR="0" simplePos="0" locked="0" layoutInCell="1" allowOverlap="1" relativeHeight="6">
          <wp:simplePos x="0" y="0"/>
          <wp:positionH relativeFrom="column">
            <wp:posOffset>91440</wp:posOffset>
          </wp:positionH>
          <wp:positionV relativeFrom="paragraph">
            <wp:posOffset>-561340</wp:posOffset>
          </wp:positionV>
          <wp:extent cx="6001385" cy="1016635"/>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6001385" cy="1016635"/>
                  </a:xfrm>
                  <a:prstGeom prst="rect">
                    <a:avLst/>
                  </a:prstGeom>
                </pic:spPr>
              </pic:pic>
            </a:graphicData>
          </a:graphic>
        </wp:anchor>
      </w:drawing>
    </w:r>
  </w:p>
  <w:p>
    <w:pPr>
      <w:pStyle w:val="Normal"/>
      <w:tabs>
        <w:tab w:val="clear" w:pos="720"/>
        <w:tab w:val="center" w:pos="4819" w:leader="none"/>
        <w:tab w:val="right" w:pos="9638" w:leader="none"/>
      </w:tabs>
      <w:rPr>
        <w:color w:val="000000"/>
      </w:rPr>
    </w:pPr>
    <w:r>
      <w:rPr>
        <w:color w:val="000000"/>
      </w:rPr>
    </w:r>
  </w:p>
</w:hdr>
</file>

<file path=word/settings.xml><?xml version="1.0" encoding="utf-8"?>
<w:settings xmlns:w="http://schemas.openxmlformats.org/wordprocessingml/2006/main">
  <w:zoom w:percent="10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Cs w:val="24"/>
        <w:lang w:val="pt-BR" w:eastAsia="pt-BR"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before="0" w:after="0"/>
      <w:jc w:val="left"/>
    </w:pPr>
    <w:rPr>
      <w:rFonts w:ascii="Liberation Serif" w:hAnsi="Liberation Serif" w:eastAsia="Liberation Serif" w:cs="Liberation Serif"/>
      <w:color w:val="auto"/>
      <w:kern w:val="0"/>
      <w:sz w:val="24"/>
      <w:szCs w:val="24"/>
      <w:lang w:val="pt-BR" w:eastAsia="pt-BR" w:bidi="ar-SA"/>
    </w:rPr>
  </w:style>
  <w:style w:type="paragraph" w:styleId="Heading1">
    <w:name w:val="Heading 1"/>
    <w:basedOn w:val="Normal"/>
    <w:next w:val="Normal"/>
    <w:qFormat/>
    <w:pPr>
      <w:keepNext w:val="true"/>
      <w:keepLines/>
      <w:spacing w:before="480" w:after="120"/>
      <w:outlineLvl w:val="0"/>
    </w:pPr>
    <w:rPr>
      <w:b/>
      <w:sz w:val="48"/>
      <w:szCs w:val="48"/>
    </w:rPr>
  </w:style>
  <w:style w:type="paragraph" w:styleId="Heading2">
    <w:name w:val="Heading 2"/>
    <w:basedOn w:val="Normal"/>
    <w:next w:val="Normal"/>
    <w:qFormat/>
    <w:pPr>
      <w:keepNext w:val="true"/>
      <w:keepLines/>
      <w:spacing w:before="360" w:after="80"/>
      <w:outlineLvl w:val="1"/>
    </w:pPr>
    <w:rPr>
      <w:b/>
      <w:sz w:val="36"/>
      <w:szCs w:val="36"/>
    </w:rPr>
  </w:style>
  <w:style w:type="paragraph" w:styleId="Heading3">
    <w:name w:val="Heading 3"/>
    <w:basedOn w:val="Normal"/>
    <w:next w:val="Normal"/>
    <w:qFormat/>
    <w:pPr>
      <w:keepNext w:val="true"/>
      <w:keepLines/>
      <w:spacing w:before="280" w:after="80"/>
      <w:outlineLvl w:val="2"/>
    </w:pPr>
    <w:rPr>
      <w:b/>
      <w:sz w:val="28"/>
      <w:szCs w:val="28"/>
    </w:rPr>
  </w:style>
  <w:style w:type="paragraph" w:styleId="Heading4">
    <w:name w:val="Heading 4"/>
    <w:basedOn w:val="Normal"/>
    <w:next w:val="Normal"/>
    <w:qFormat/>
    <w:pPr>
      <w:keepNext w:val="true"/>
      <w:keepLines/>
      <w:spacing w:before="240" w:after="40"/>
      <w:outlineLvl w:val="3"/>
    </w:pPr>
    <w:rPr>
      <w:b/>
    </w:rPr>
  </w:style>
  <w:style w:type="paragraph" w:styleId="Heading5">
    <w:name w:val="Heading 5"/>
    <w:basedOn w:val="Normal"/>
    <w:next w:val="Normal"/>
    <w:qFormat/>
    <w:pPr>
      <w:keepNext w:val="true"/>
      <w:keepLines/>
      <w:spacing w:before="220" w:after="40"/>
      <w:outlineLvl w:val="4"/>
    </w:pPr>
    <w:rPr>
      <w:b/>
      <w:sz w:val="22"/>
      <w:szCs w:val="22"/>
    </w:rPr>
  </w:style>
  <w:style w:type="paragraph" w:styleId="Heading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581768"/>
    <w:rPr>
      <w:rFonts w:ascii="Segoe UI" w:hAnsi="Segoe UI" w:cs="Segoe UI"/>
      <w:sz w:val="18"/>
      <w:szCs w:val="18"/>
    </w:rPr>
  </w:style>
  <w:style w:type="character" w:styleId="AssuntodocomentrioChar" w:customStyle="1">
    <w:name w:val="Assunto do comentário Char"/>
    <w:basedOn w:val="TextodecomentrioChar"/>
    <w:link w:val="Assuntodocomentrio"/>
    <w:uiPriority w:val="99"/>
    <w:semiHidden/>
    <w:qFormat/>
    <w:rsid w:val="00047b0b"/>
    <w:rPr>
      <w:b/>
      <w:bCs/>
      <w:sz w:val="20"/>
      <w:szCs w:val="20"/>
    </w:rPr>
  </w:style>
  <w:style w:type="character" w:styleId="InternetLink">
    <w:name w:val="Internet Link"/>
    <w:basedOn w:val="DefaultParagraphFont"/>
    <w:uiPriority w:val="99"/>
    <w:semiHidden/>
    <w:unhideWhenUsed/>
    <w:rsid w:val="008a040f"/>
    <w:rPr>
      <w:color w:val="0000FF"/>
      <w:u w:val="single"/>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Noto Sans CJK SC" w:cs="Droid Sans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styleId="Index">
    <w:name w:val="Index"/>
    <w:basedOn w:val="Normal"/>
    <w:qFormat/>
    <w:pPr>
      <w:suppressLineNumbers/>
    </w:pPr>
    <w:rPr>
      <w:rFonts w:cs="Droid Sans Devanagari"/>
    </w:rPr>
  </w:style>
  <w:style w:type="paragraph" w:styleId="Title">
    <w:name w:val="Title"/>
    <w:basedOn w:val="Normal"/>
    <w:next w:val="Normal"/>
    <w:qFormat/>
    <w:pPr>
      <w:keepNext w:val="true"/>
      <w:keepLines/>
      <w:spacing w:before="480" w:after="120"/>
    </w:pPr>
    <w:rPr>
      <w:b/>
      <w:sz w:val="72"/>
      <w:szCs w:val="72"/>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semiHidden/>
    <w:unhideWhenUsed/>
    <w:qFormat/>
    <w:pPr/>
    <w:rPr>
      <w:sz w:val="20"/>
      <w:szCs w:val="20"/>
    </w:rPr>
  </w:style>
  <w:style w:type="paragraph" w:styleId="BalloonText">
    <w:name w:val="Balloon Text"/>
    <w:basedOn w:val="Normal"/>
    <w:link w:val="TextodebaloChar"/>
    <w:uiPriority w:val="99"/>
    <w:semiHidden/>
    <w:unhideWhenUsed/>
    <w:qFormat/>
    <w:rsid w:val="00581768"/>
    <w:pPr/>
    <w:rPr>
      <w:rFonts w:ascii="Segoe UI" w:hAnsi="Segoe UI" w:cs="Segoe UI"/>
      <w:sz w:val="18"/>
      <w:szCs w:val="18"/>
    </w:rPr>
  </w:style>
  <w:style w:type="paragraph" w:styleId="Annotationsubject">
    <w:name w:val="annotation subject"/>
    <w:basedOn w:val="Annotationtext"/>
    <w:next w:val="Annotationtext"/>
    <w:link w:val="AssuntodocomentrioChar"/>
    <w:uiPriority w:val="99"/>
    <w:semiHidden/>
    <w:unhideWhenUsed/>
    <w:qFormat/>
    <w:rsid w:val="00047b0b"/>
    <w:pPr/>
    <w:rPr>
      <w:b/>
      <w:bCs/>
    </w:rPr>
  </w:style>
  <w:style w:type="paragraph" w:styleId="Footnote">
    <w:name w:val="Footnote Text"/>
    <w:basedOn w:val="Normal"/>
    <w:pPr/>
    <w:rPr/>
  </w:style>
  <w:style w:type="paragraph" w:styleId="HeaderandFooter">
    <w:name w:val="Header and Footer"/>
    <w:basedOn w:val="Normal"/>
    <w:qFormat/>
    <w:pPr/>
    <w:rPr/>
  </w:style>
  <w:style w:type="paragraph" w:styleId="Header">
    <w:name w:val="Header"/>
    <w:basedOn w:val="HeaderandFooter"/>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lattes.cnpq.br/8159020225820727" TargetMode="External"/><Relationship Id="rId3" Type="http://schemas.openxmlformats.org/officeDocument/2006/relationships/hyperlink" Target="https://repositorio.ufsm.br/handle/1/2385" TargetMode="External"/><Relationship Id="rId4" Type="http://schemas.openxmlformats.org/officeDocument/2006/relationships/hyperlink" Target="http://lattes.cnpq.br/6094379265028380" TargetMode="External"/><Relationship Id="rId5" Type="http://schemas.openxmlformats.org/officeDocument/2006/relationships/hyperlink" Target="http://lattes.cnpq.br/3488369448766844" TargetMode="External"/><Relationship Id="rId6" Type="http://schemas.openxmlformats.org/officeDocument/2006/relationships/hyperlink" Target="http://lattes.cnpq.br/0416614425134935" TargetMode="External"/><Relationship Id="rId7" Type="http://schemas.openxmlformats.org/officeDocument/2006/relationships/hyperlink" Target="http://lattes.cnpq.br/1807818404985777" TargetMode="External"/><Relationship Id="rId8" Type="http://schemas.openxmlformats.org/officeDocument/2006/relationships/header" Target="header1.xml"/><Relationship Id="rId9" Type="http://schemas.openxmlformats.org/officeDocument/2006/relationships/footnotes" Target="footnotes.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Application>LibreOffice/6.3.6.2$Linux_X86_64 LibreOffice_project/30$Build-2</Application>
  <Pages>5</Pages>
  <Words>1624</Words>
  <Characters>9498</Characters>
  <CharactersWithSpaces>11118</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2020-08-22T18:42:00Z</dcterms:created>
  <dc:creator>Sinara München</dc:creator>
  <dc:description/>
  <dc:language>pt-BR</dc:language>
  <cp:lastModifiedBy/>
  <dcterms:modified xsi:type="dcterms:W3CDTF">2020-08-28T20:36:47Z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